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rPr>
          <w:rFonts w:eastAsia="仿宋"/>
          <w:b/>
          <w:bCs/>
          <w:color w:val="FF0000"/>
          <w:sz w:val="28"/>
          <w:szCs w:val="28"/>
        </w:rPr>
      </w:pPr>
      <w:r>
        <w:rPr>
          <w:rFonts w:eastAsia="仿宋"/>
          <w:b/>
          <w:bCs/>
          <w:color w:val="FF0000"/>
          <w:sz w:val="28"/>
          <w:szCs w:val="28"/>
        </w:rPr>
        <w:t>无答题纸试卷样式：（个别课程因特殊情况须在试卷上作答的，可采用本试卷样式）</w:t>
      </w:r>
    </w:p>
    <w:p>
      <w:pPr>
        <w:spacing w:line="360" w:lineRule="auto"/>
        <w:ind w:firstLine="3110" w:firstLineChars="1296"/>
        <w:rPr>
          <w:rFonts w:eastAsiaTheme="minorEastAsia"/>
          <w:sz w:val="24"/>
        </w:rPr>
      </w:pPr>
      <w:r>
        <w:rPr>
          <w:rFonts w:eastAsiaTheme="minorEastAsia"/>
          <w:sz w:val="24"/>
        </w:rPr>
        <w:t>遵章守纪考试诚信承诺书</w:t>
      </w:r>
    </w:p>
    <w:p>
      <w:pPr>
        <w:spacing w:line="360" w:lineRule="auto"/>
        <w:ind w:firstLine="470" w:firstLineChars="196"/>
        <w:rPr>
          <w:rFonts w:eastAsiaTheme="minorEastAsia"/>
          <w:sz w:val="24"/>
        </w:rPr>
      </w:pPr>
      <w:r>
        <w:rPr>
          <w:rFonts w:eastAsiaTheme="minorEastAsia"/>
          <w:sz w:val="24"/>
        </w:rPr>
        <w:t>在我填写考生信息时，表示我已阅读和理解《厦门华厦学院考试违规处理办法》 (华厦教字〔2015〕72号)有关规定，承诺在考试中自觉遵守该规定，如有违反将接受处罚；我保证在本科目中，本人所提供的个人信息是真实、准确的。</w:t>
      </w:r>
    </w:p>
    <w:p>
      <w:pPr>
        <w:spacing w:line="360" w:lineRule="auto"/>
        <w:ind w:right="-1" w:firstLine="5608" w:firstLineChars="2337"/>
        <w:rPr>
          <w:rFonts w:eastAsiaTheme="minorEastAsia"/>
          <w:color w:val="000000"/>
          <w:sz w:val="24"/>
          <w:u w:val="single"/>
        </w:rPr>
      </w:pPr>
      <w:r>
        <w:rPr>
          <w:rFonts w:eastAsiaTheme="minorEastAsia"/>
          <w:color w:val="000000"/>
          <w:sz w:val="24"/>
        </w:rPr>
        <w:t>承诺人签字：</w:t>
      </w:r>
      <w:r>
        <w:rPr>
          <w:rFonts w:eastAsiaTheme="minorEastAsia"/>
          <w:color w:val="000000"/>
          <w:sz w:val="24"/>
          <w:u w:val="single"/>
        </w:rPr>
        <w:t xml:space="preserve">　　         </w:t>
      </w:r>
    </w:p>
    <w:p>
      <w:pPr>
        <w:spacing w:line="360" w:lineRule="auto"/>
        <w:ind w:right="-1" w:firstLine="5608" w:firstLineChars="2337"/>
        <w:rPr>
          <w:rFonts w:eastAsiaTheme="minorEastAsia"/>
          <w:color w:val="000000"/>
          <w:sz w:val="24"/>
          <w:u w:val="single"/>
        </w:rPr>
      </w:pPr>
    </w:p>
    <w:p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30"/>
          <w:szCs w:val="30"/>
        </w:rPr>
        <w:t xml:space="preserve">  厦门华厦学院    －   学年第  学期</w:t>
      </w:r>
      <w:r>
        <w:rPr>
          <w:b/>
          <w:color w:val="0000FF"/>
          <w:sz w:val="30"/>
          <w:szCs w:val="30"/>
        </w:rPr>
        <w:t>期末考试</w:t>
      </w:r>
      <w:r>
        <w:rPr>
          <w:b/>
          <w:sz w:val="30"/>
          <w:szCs w:val="30"/>
        </w:rPr>
        <w:t>试卷（</w:t>
      </w:r>
      <w:r>
        <w:rPr>
          <w:b/>
          <w:color w:val="FF0000"/>
          <w:sz w:val="30"/>
          <w:szCs w:val="30"/>
        </w:rPr>
        <w:t>本科</w:t>
      </w:r>
      <w:r>
        <w:rPr>
          <w:b/>
          <w:sz w:val="30"/>
          <w:szCs w:val="30"/>
        </w:rPr>
        <w:t>）</w:t>
      </w:r>
    </w:p>
    <w:p>
      <w:pPr>
        <w:spacing w:line="360" w:lineRule="auto"/>
        <w:jc w:val="center"/>
        <w:rPr>
          <w:sz w:val="24"/>
        </w:rPr>
      </w:pPr>
      <w:r>
        <w:rPr>
          <w:rFonts w:eastAsia="楷体_GB2312"/>
          <w:sz w:val="24"/>
          <w:u w:val="single"/>
        </w:rPr>
        <w:t xml:space="preserve"> 2018</w:t>
      </w:r>
      <w:r>
        <w:rPr>
          <w:rFonts w:eastAsia="楷体_GB2312"/>
          <w:sz w:val="24"/>
        </w:rPr>
        <w:t>级</w:t>
      </w:r>
      <w:r>
        <w:rPr>
          <w:rFonts w:eastAsia="楷体_GB2312"/>
          <w:sz w:val="24"/>
          <w:u w:val="single"/>
        </w:rPr>
        <w:t xml:space="preserve">  </w:t>
      </w:r>
      <w:r>
        <w:rPr>
          <w:rFonts w:eastAsia="楷体_GB2312"/>
          <w:color w:val="0000FF"/>
          <w:sz w:val="24"/>
          <w:u w:val="single"/>
        </w:rPr>
        <w:t xml:space="preserve">商务英语   </w:t>
      </w:r>
      <w:r>
        <w:rPr>
          <w:rFonts w:eastAsia="楷体_GB2312"/>
          <w:sz w:val="24"/>
        </w:rPr>
        <w:t>专业</w:t>
      </w:r>
      <w:r>
        <w:rPr>
          <w:rFonts w:eastAsia="楷体_GB2312"/>
          <w:color w:val="0000FF"/>
          <w:sz w:val="24"/>
          <w:u w:val="single"/>
        </w:rPr>
        <w:t>05211002</w:t>
      </w:r>
      <w:r>
        <w:rPr>
          <w:rFonts w:eastAsia="楷体_GB2312"/>
          <w:sz w:val="24"/>
        </w:rPr>
        <w:t xml:space="preserve"> </w:t>
      </w:r>
      <w:r>
        <w:rPr>
          <w:rFonts w:eastAsia="楷体_GB2312"/>
          <w:color w:val="0000FF"/>
          <w:sz w:val="24"/>
          <w:u w:val="single"/>
        </w:rPr>
        <w:t>高等数学（二）</w:t>
      </w:r>
      <w:r>
        <w:rPr>
          <w:rFonts w:eastAsia="楷体_GB2312"/>
          <w:sz w:val="24"/>
        </w:rPr>
        <w:t>（</w:t>
      </w:r>
      <w:r>
        <w:rPr>
          <w:rFonts w:eastAsia="楷体_GB2312"/>
          <w:color w:val="0000FF"/>
          <w:sz w:val="24"/>
          <w:u w:val="single"/>
        </w:rPr>
        <w:t>A</w:t>
      </w:r>
      <w:r>
        <w:rPr>
          <w:rFonts w:eastAsia="楷体_GB2312"/>
          <w:sz w:val="24"/>
        </w:rPr>
        <w:t>卷）（</w:t>
      </w:r>
      <w:r>
        <w:rPr>
          <w:rFonts w:eastAsia="楷体_GB2312"/>
          <w:color w:val="FF0000"/>
          <w:sz w:val="24"/>
          <w:u w:val="single"/>
        </w:rPr>
        <w:t>开卷/闭卷</w:t>
      </w:r>
      <w:r>
        <w:rPr>
          <w:rFonts w:eastAsia="楷体_GB2312"/>
          <w:sz w:val="24"/>
        </w:rPr>
        <w:t>）</w:t>
      </w:r>
    </w:p>
    <w:p>
      <w:pPr>
        <w:spacing w:line="360" w:lineRule="auto"/>
        <w:jc w:val="left"/>
      </w:pPr>
      <w:r>
        <w:t xml:space="preserve">   本试卷共</w:t>
      </w:r>
      <w:r>
        <w:rPr>
          <w:color w:val="FF0000"/>
        </w:rPr>
        <w:t>X</w:t>
      </w:r>
      <w:r>
        <w:t>大题，时间</w:t>
      </w:r>
      <w:r>
        <w:rPr>
          <w:color w:val="FF0000"/>
        </w:rPr>
        <w:t>120</w:t>
      </w:r>
      <w:r>
        <w:t>分钟，满分100分。请将答案写于答题纸上，在试卷上作答无效。</w:t>
      </w:r>
    </w:p>
    <w:p>
      <w:pPr>
        <w:spacing w:line="360" w:lineRule="auto"/>
        <w:rPr>
          <w:szCs w:val="21"/>
        </w:rPr>
      </w:pPr>
      <w:r>
        <w:rPr>
          <w:szCs w:val="21"/>
        </w:rPr>
        <w:t>可携带/工具</w:t>
      </w:r>
      <w:r>
        <w:rPr>
          <w:szCs w:val="21"/>
          <w:u w:val="single"/>
        </w:rPr>
        <w:t xml:space="preserve">　　　                                                          　　 </w:t>
      </w:r>
    </w:p>
    <w:p>
      <w:pPr>
        <w:spacing w:line="360" w:lineRule="auto"/>
        <w:rPr>
          <w:szCs w:val="21"/>
          <w:u w:val="single"/>
        </w:rPr>
      </w:pPr>
      <w:r>
        <w:rPr>
          <w:szCs w:val="21"/>
        </w:rPr>
        <w:t>专业、班级：</w:t>
      </w:r>
      <w:r>
        <w:rPr>
          <w:szCs w:val="21"/>
          <w:u w:val="single"/>
        </w:rPr>
        <w:t>　　　　　　　　</w:t>
      </w:r>
      <w:r>
        <w:rPr>
          <w:szCs w:val="21"/>
        </w:rPr>
        <w:t>学号：</w:t>
      </w:r>
      <w:r>
        <w:rPr>
          <w:szCs w:val="21"/>
          <w:u w:val="single"/>
        </w:rPr>
        <w:t>　　　 　</w:t>
      </w:r>
      <w:r>
        <w:rPr>
          <w:szCs w:val="21"/>
        </w:rPr>
        <w:t>姓名：</w:t>
      </w:r>
      <w:r>
        <w:rPr>
          <w:szCs w:val="21"/>
          <w:u w:val="single"/>
        </w:rPr>
        <w:t xml:space="preserve">　　　    </w:t>
      </w:r>
      <w:r>
        <w:rPr>
          <w:szCs w:val="21"/>
        </w:rPr>
        <w:t>考试时间：</w:t>
      </w:r>
      <w:r>
        <w:rPr>
          <w:szCs w:val="21"/>
          <w:u w:val="single"/>
        </w:rPr>
        <w:t xml:space="preserve">　         </w:t>
      </w:r>
    </w:p>
    <w:tbl>
      <w:tblPr>
        <w:tblStyle w:val="5"/>
        <w:tblpPr w:leftFromText="180" w:rightFromText="180" w:vertAnchor="text" w:horzAnchor="page" w:tblpXSpec="center" w:tblpY="418"/>
        <w:tblW w:w="894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07"/>
        <w:gridCol w:w="943"/>
        <w:gridCol w:w="1002"/>
        <w:gridCol w:w="1072"/>
        <w:gridCol w:w="943"/>
        <w:gridCol w:w="1131"/>
        <w:gridCol w:w="13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9" w:type="dxa"/>
          </w:tcPr>
          <w:p>
            <w:pPr>
              <w:spacing w:before="156" w:beforeLines="50" w:after="156" w:afterLines="50" w:line="380" w:lineRule="exact"/>
              <w:jc w:val="center"/>
            </w:pPr>
            <w:r>
              <w:t>题号</w:t>
            </w:r>
          </w:p>
        </w:tc>
        <w:tc>
          <w:tcPr>
            <w:tcW w:w="1007" w:type="dxa"/>
          </w:tcPr>
          <w:p>
            <w:pPr>
              <w:spacing w:before="156" w:beforeLines="50" w:after="156" w:afterLines="50" w:line="380" w:lineRule="exact"/>
              <w:jc w:val="center"/>
            </w:pPr>
            <w:r>
              <w:t>一</w:t>
            </w:r>
          </w:p>
        </w:tc>
        <w:tc>
          <w:tcPr>
            <w:tcW w:w="943" w:type="dxa"/>
          </w:tcPr>
          <w:p>
            <w:pPr>
              <w:spacing w:before="156" w:beforeLines="50" w:after="156" w:afterLines="50" w:line="380" w:lineRule="exact"/>
              <w:jc w:val="center"/>
            </w:pPr>
            <w:r>
              <w:t>二</w:t>
            </w:r>
          </w:p>
        </w:tc>
        <w:tc>
          <w:tcPr>
            <w:tcW w:w="1002" w:type="dxa"/>
          </w:tcPr>
          <w:p>
            <w:pPr>
              <w:spacing w:before="156" w:beforeLines="50" w:after="156" w:afterLines="50" w:line="380" w:lineRule="exact"/>
              <w:jc w:val="center"/>
            </w:pPr>
            <w:r>
              <w:t>三</w:t>
            </w:r>
          </w:p>
        </w:tc>
        <w:tc>
          <w:tcPr>
            <w:tcW w:w="1072" w:type="dxa"/>
          </w:tcPr>
          <w:p>
            <w:pPr>
              <w:spacing w:before="156" w:beforeLines="50" w:after="156" w:afterLines="50" w:line="380" w:lineRule="exact"/>
              <w:jc w:val="center"/>
            </w:pPr>
            <w:r>
              <w:t>四</w:t>
            </w:r>
          </w:p>
        </w:tc>
        <w:tc>
          <w:tcPr>
            <w:tcW w:w="943" w:type="dxa"/>
          </w:tcPr>
          <w:p>
            <w:pPr>
              <w:spacing w:before="156" w:beforeLines="50" w:after="156" w:afterLines="50" w:line="380" w:lineRule="exact"/>
              <w:jc w:val="center"/>
            </w:pPr>
            <w:r>
              <w:t>五</w:t>
            </w:r>
          </w:p>
        </w:tc>
        <w:tc>
          <w:tcPr>
            <w:tcW w:w="1131" w:type="dxa"/>
          </w:tcPr>
          <w:p>
            <w:pPr>
              <w:spacing w:before="156" w:beforeLines="50" w:after="156" w:afterLines="50" w:line="380" w:lineRule="exact"/>
              <w:jc w:val="center"/>
            </w:pPr>
            <w:r>
              <w:t>六</w:t>
            </w:r>
          </w:p>
        </w:tc>
        <w:tc>
          <w:tcPr>
            <w:tcW w:w="1319" w:type="dxa"/>
          </w:tcPr>
          <w:p>
            <w:pPr>
              <w:spacing w:before="156" w:beforeLines="50" w:after="156" w:afterLines="50" w:line="380" w:lineRule="exact"/>
              <w:jc w:val="center"/>
            </w:pPr>
            <w:r>
              <w:t>总得分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9" w:type="dxa"/>
          </w:tcPr>
          <w:p>
            <w:pPr>
              <w:spacing w:before="156" w:beforeLines="50" w:after="156" w:afterLines="50" w:line="380" w:lineRule="exact"/>
              <w:jc w:val="center"/>
            </w:pPr>
            <w:r>
              <w:t>得分</w:t>
            </w:r>
          </w:p>
        </w:tc>
        <w:tc>
          <w:tcPr>
            <w:tcW w:w="1007" w:type="dxa"/>
          </w:tcPr>
          <w:p>
            <w:pPr>
              <w:spacing w:before="156" w:beforeLines="50" w:after="156" w:afterLines="50" w:line="380" w:lineRule="exact"/>
            </w:pPr>
          </w:p>
        </w:tc>
        <w:tc>
          <w:tcPr>
            <w:tcW w:w="943" w:type="dxa"/>
          </w:tcPr>
          <w:p>
            <w:pPr>
              <w:spacing w:before="156" w:beforeLines="50" w:after="156" w:afterLines="50" w:line="380" w:lineRule="exact"/>
            </w:pPr>
          </w:p>
        </w:tc>
        <w:tc>
          <w:tcPr>
            <w:tcW w:w="1002" w:type="dxa"/>
          </w:tcPr>
          <w:p>
            <w:pPr>
              <w:spacing w:before="156" w:beforeLines="50" w:after="156" w:afterLines="50" w:line="380" w:lineRule="exact"/>
            </w:pPr>
          </w:p>
        </w:tc>
        <w:tc>
          <w:tcPr>
            <w:tcW w:w="1072" w:type="dxa"/>
          </w:tcPr>
          <w:p>
            <w:pPr>
              <w:spacing w:before="156" w:beforeLines="50" w:after="156" w:afterLines="50" w:line="380" w:lineRule="exact"/>
            </w:pPr>
          </w:p>
        </w:tc>
        <w:tc>
          <w:tcPr>
            <w:tcW w:w="943" w:type="dxa"/>
          </w:tcPr>
          <w:p>
            <w:pPr>
              <w:spacing w:before="156" w:beforeLines="50" w:after="156" w:afterLines="50" w:line="380" w:lineRule="exact"/>
            </w:pPr>
          </w:p>
        </w:tc>
        <w:tc>
          <w:tcPr>
            <w:tcW w:w="1131" w:type="dxa"/>
          </w:tcPr>
          <w:p>
            <w:pPr>
              <w:spacing w:before="156" w:beforeLines="50" w:after="156" w:afterLines="50" w:line="380" w:lineRule="exact"/>
            </w:pPr>
          </w:p>
        </w:tc>
        <w:tc>
          <w:tcPr>
            <w:tcW w:w="1319" w:type="dxa"/>
          </w:tcPr>
          <w:p>
            <w:pPr>
              <w:spacing w:before="156" w:beforeLines="50" w:after="156" w:afterLines="50" w:line="3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529" w:type="dxa"/>
          </w:tcPr>
          <w:p>
            <w:pPr>
              <w:spacing w:before="156" w:beforeLines="50" w:after="156" w:afterLines="50" w:line="380" w:lineRule="exact"/>
              <w:jc w:val="center"/>
            </w:pPr>
            <w:r>
              <w:t>评卷人签字</w:t>
            </w:r>
          </w:p>
        </w:tc>
        <w:tc>
          <w:tcPr>
            <w:tcW w:w="1007" w:type="dxa"/>
          </w:tcPr>
          <w:p>
            <w:pPr>
              <w:spacing w:before="156" w:beforeLines="50" w:after="156" w:afterLines="50" w:line="380" w:lineRule="exact"/>
            </w:pPr>
          </w:p>
        </w:tc>
        <w:tc>
          <w:tcPr>
            <w:tcW w:w="943" w:type="dxa"/>
          </w:tcPr>
          <w:p>
            <w:pPr>
              <w:spacing w:before="156" w:beforeLines="50" w:after="156" w:afterLines="50" w:line="380" w:lineRule="exact"/>
            </w:pPr>
          </w:p>
        </w:tc>
        <w:tc>
          <w:tcPr>
            <w:tcW w:w="1002" w:type="dxa"/>
          </w:tcPr>
          <w:p>
            <w:pPr>
              <w:spacing w:before="156" w:beforeLines="50" w:after="156" w:afterLines="50" w:line="380" w:lineRule="exact"/>
            </w:pPr>
          </w:p>
        </w:tc>
        <w:tc>
          <w:tcPr>
            <w:tcW w:w="1072" w:type="dxa"/>
          </w:tcPr>
          <w:p>
            <w:pPr>
              <w:spacing w:before="156" w:beforeLines="50" w:after="156" w:afterLines="50" w:line="380" w:lineRule="exact"/>
            </w:pPr>
          </w:p>
        </w:tc>
        <w:tc>
          <w:tcPr>
            <w:tcW w:w="943" w:type="dxa"/>
          </w:tcPr>
          <w:p>
            <w:pPr>
              <w:spacing w:before="156" w:beforeLines="50" w:after="156" w:afterLines="50" w:line="380" w:lineRule="exact"/>
            </w:pPr>
          </w:p>
        </w:tc>
        <w:tc>
          <w:tcPr>
            <w:tcW w:w="1131" w:type="dxa"/>
          </w:tcPr>
          <w:p>
            <w:pPr>
              <w:spacing w:before="156" w:beforeLines="50" w:after="156" w:afterLines="50" w:line="380" w:lineRule="exact"/>
            </w:pPr>
          </w:p>
        </w:tc>
        <w:tc>
          <w:tcPr>
            <w:tcW w:w="1319" w:type="dxa"/>
          </w:tcPr>
          <w:p>
            <w:pPr>
              <w:spacing w:before="156" w:beforeLines="50" w:after="156" w:afterLines="50" w:line="3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529" w:type="dxa"/>
          </w:tcPr>
          <w:p>
            <w:pPr>
              <w:spacing w:before="156" w:beforeLines="50" w:after="156" w:afterLines="50" w:line="380" w:lineRule="exact"/>
              <w:jc w:val="center"/>
            </w:pPr>
            <w:r>
              <w:t>复核人签字</w:t>
            </w:r>
          </w:p>
        </w:tc>
        <w:tc>
          <w:tcPr>
            <w:tcW w:w="7417" w:type="dxa"/>
            <w:gridSpan w:val="7"/>
          </w:tcPr>
          <w:p>
            <w:pPr>
              <w:spacing w:before="156" w:beforeLines="50" w:after="156" w:afterLines="50" w:line="380" w:lineRule="exact"/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eastAsia="黑体"/>
          <w:sz w:val="36"/>
        </w:rPr>
      </w:pPr>
      <w:r>
        <w:t>一、单项选择题（本大题</w:t>
      </w:r>
      <w:r>
        <w:rPr>
          <w:rFonts w:hint="eastAsia" w:ascii="宋体" w:hAnsi="宋体" w:cs="宋体"/>
        </w:rPr>
        <w:t>╳</w:t>
      </w:r>
      <w:r>
        <w:t>小题，每小题</w:t>
      </w:r>
      <w:r>
        <w:rPr>
          <w:rFonts w:hint="eastAsia" w:ascii="宋体" w:hAnsi="宋体" w:cs="宋体"/>
        </w:rPr>
        <w:t>╳</w:t>
      </w:r>
      <w:r>
        <w:t>分，共</w:t>
      </w:r>
      <w:r>
        <w:rPr>
          <w:rFonts w:hint="eastAsia" w:ascii="宋体" w:hAnsi="宋体" w:cs="宋体"/>
        </w:rPr>
        <w:t>╳</w:t>
      </w:r>
      <w:r>
        <w:t>分）</w:t>
      </w:r>
    </w:p>
    <w:p>
      <w:pPr>
        <w:jc w:val="left"/>
      </w:pPr>
      <w:r>
        <w:t>1、现代土木工程的特点是（   ）。</w:t>
      </w:r>
    </w:p>
    <w:p>
      <w:r>
        <w:t>A、主要结构形式木结构、石结构、砖结构</w:t>
      </w:r>
      <w:r>
        <w:tab/>
      </w:r>
      <w:r>
        <w:tab/>
      </w:r>
      <w:r>
        <w:tab/>
      </w:r>
    </w:p>
    <w:p>
      <w:r>
        <w:t>B、土木工程材料有很大发展，波特兰水泥、钢筋混凝土、预应力混凝土相继问世</w:t>
      </w:r>
    </w:p>
    <w:p>
      <w:r>
        <w:t>C、力学、物理学、生物学、工程学等学科开始发展</w:t>
      </w:r>
    </w:p>
    <w:p>
      <w:r>
        <w:t>D、功能要求多样化、城市建设立体化、交通工程快速化、技术先进化</w:t>
      </w:r>
    </w:p>
    <w:p>
      <w:pPr>
        <w:rPr>
          <w:b/>
          <w:color w:val="FF0000"/>
        </w:rPr>
      </w:pPr>
      <w:r>
        <w:rPr>
          <w:b/>
          <w:color w:val="FF0000"/>
        </w:rPr>
        <w:t>注：每个大题间留一个空行。</w:t>
      </w:r>
    </w:p>
    <w:p>
      <w:pPr>
        <w:pStyle w:val="6"/>
        <w:ind w:firstLine="0" w:firstLineChars="0"/>
        <w:rPr>
          <w:rFonts w:ascii="Times New Roman" w:hAnsi="Times New Roman"/>
        </w:rPr>
      </w:pPr>
      <w:r>
        <w:rPr>
          <w:rFonts w:ascii="Times New Roman" w:hAnsi="Times New Roman"/>
        </w:rPr>
        <w:t>二、判断题（</w:t>
      </w:r>
      <w:r>
        <w:rPr>
          <w:rFonts w:ascii="Times New Roman" w:hAnsi="Times New Roman"/>
          <w:bCs/>
          <w:szCs w:val="21"/>
        </w:rPr>
        <w:t>正确的划√，错误的划×，</w:t>
      </w:r>
      <w:r>
        <w:rPr>
          <w:rFonts w:ascii="Times New Roman" w:hAnsi="Times New Roman"/>
        </w:rPr>
        <w:t>本大题</w:t>
      </w:r>
      <w:r>
        <w:rPr>
          <w:rFonts w:hint="eastAsia" w:ascii="宋体" w:hAnsi="宋体" w:cs="宋体"/>
        </w:rPr>
        <w:t>╳</w:t>
      </w:r>
      <w:r>
        <w:rPr>
          <w:rFonts w:ascii="Times New Roman" w:hAnsi="Times New Roman"/>
        </w:rPr>
        <w:t>小题，每小题</w:t>
      </w:r>
      <w:r>
        <w:rPr>
          <w:rFonts w:hint="eastAsia" w:ascii="宋体" w:hAnsi="宋体" w:cs="宋体"/>
        </w:rPr>
        <w:t>╳</w:t>
      </w:r>
      <w:r>
        <w:rPr>
          <w:rFonts w:ascii="Times New Roman" w:hAnsi="Times New Roman"/>
        </w:rPr>
        <w:t>分，共</w:t>
      </w:r>
      <w:r>
        <w:rPr>
          <w:rFonts w:hint="eastAsia" w:ascii="宋体" w:hAnsi="宋体" w:cs="宋体"/>
        </w:rPr>
        <w:t>╳</w:t>
      </w:r>
      <w:r>
        <w:rPr>
          <w:rFonts w:ascii="Times New Roman" w:hAnsi="Times New Roman"/>
        </w:rPr>
        <w:t>分）</w:t>
      </w:r>
    </w:p>
    <w:p>
      <w:pPr>
        <w:spacing w:after="100"/>
        <w:rPr>
          <w:bCs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3920490</wp:posOffset>
                </wp:positionH>
                <wp:positionV relativeFrom="paragraph">
                  <wp:posOffset>101600</wp:posOffset>
                </wp:positionV>
                <wp:extent cx="263525" cy="635"/>
                <wp:effectExtent l="0" t="37465" r="3175" b="3810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3525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8.7pt;margin-top:8pt;height:0.05pt;width:20.75pt;z-index:251661312;mso-width-relative:page;mso-height-relative:page;" filled="f" stroked="t" coordsize="21600,21600" o:gfxdata="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K4ZErDYAAAA&#10;CQEAAA8AAAAAAAAAAQAgAAAAIgAAAGRycy9kb3ducmV2LnhtbFBLAQIUABQAAAAIAIdO4kDgyrxm&#10;5AEAAKMDAAAOAAAAAAAAAAEAIAAAACc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3334385</wp:posOffset>
                </wp:positionH>
                <wp:positionV relativeFrom="paragraph">
                  <wp:posOffset>83820</wp:posOffset>
                </wp:positionV>
                <wp:extent cx="263525" cy="635"/>
                <wp:effectExtent l="0" t="37465" r="3175" b="3810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3525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2.55pt;margin-top:6.6pt;height:0.05pt;width:20.75pt;z-index:251660288;mso-width-relative:page;mso-height-relative:page;" filled="f" stroked="t" coordsize="21600,21600" o:gfxdata="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fCf2LNkA&#10;AAAJAQAADwAAAAAAAAABACAAAAAiAAAAZHJzL2Rvd25yZXYueG1sUEsBAhQAFAAAAAgAh07iQOrr&#10;6pHlAQAAowMAAA4AAAAAAAAAAQAgAAAAKA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2731135</wp:posOffset>
                </wp:positionH>
                <wp:positionV relativeFrom="paragraph">
                  <wp:posOffset>92710</wp:posOffset>
                </wp:positionV>
                <wp:extent cx="263525" cy="635"/>
                <wp:effectExtent l="0" t="37465" r="3175" b="3810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3525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5.05pt;margin-top:7.3pt;height:0.05pt;width:20.75pt;z-index:251659264;mso-width-relative:page;mso-height-relative:page;" filled="f" stroked="t" coordsize="21600,21600" o:gfxdata="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c2c7JdgA&#10;AAAJAQAADwAAAAAAAAABACAAAAAiAAAAZHJzL2Rvd25yZXYueG1sUEsBAhQAFAAAAAgAh07iQKPE&#10;S47mAQAAowMAAA4AAAAAAAAAAQAgAAAAJw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2071370</wp:posOffset>
                </wp:positionH>
                <wp:positionV relativeFrom="paragraph">
                  <wp:posOffset>110490</wp:posOffset>
                </wp:positionV>
                <wp:extent cx="263525" cy="635"/>
                <wp:effectExtent l="0" t="37465" r="3175" b="3810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3525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63.1pt;margin-top:8.7pt;height:0.05pt;width:20.75pt;z-index:251658240;mso-width-relative:page;mso-height-relative:page;" filled="f" stroked="t" coordsize="21600,21600" o:gfxdata="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NcH7U9kA&#10;AAAJAQAADwAAAAAAAAABACAAAAAiAAAAZHJzL2Rvd25yZXYueG1sUEsBAhQAFAAAAAgAh07iQKnl&#10;HXnlAQAAowMAAA4AAAAAAAAAAQAgAAAAKA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t>1、框架结构中楼盖传力路径：荷载     楼板     次梁     主梁     承重墙。</w:t>
      </w:r>
      <w:r>
        <w:rPr>
          <w:bCs/>
        </w:rPr>
        <w:t>···（</w:t>
      </w:r>
      <w:r>
        <w:t xml:space="preserve">  </w:t>
      </w:r>
      <w:r>
        <w:rPr>
          <w:bCs/>
        </w:rPr>
        <w:t>）</w:t>
      </w:r>
    </w:p>
    <w:p>
      <w:pPr>
        <w:spacing w:after="100"/>
      </w:pPr>
      <w:r>
        <w:rPr>
          <w:rFonts w:eastAsia="仿宋_GB2312"/>
        </w:rPr>
        <w:t xml:space="preserve"> </w:t>
      </w:r>
    </w:p>
    <w:p>
      <w:pPr>
        <w:numPr>
          <w:ilvl w:val="0"/>
          <w:numId w:val="1"/>
        </w:numPr>
      </w:pPr>
      <w:r>
        <w:t>问答题（本大题</w:t>
      </w:r>
      <w:r>
        <w:rPr>
          <w:rFonts w:hint="eastAsia" w:ascii="宋体" w:hAnsi="宋体" w:cs="宋体"/>
        </w:rPr>
        <w:t>╳</w:t>
      </w:r>
      <w:r>
        <w:t>小题，每小题</w:t>
      </w:r>
      <w:r>
        <w:rPr>
          <w:rFonts w:hint="eastAsia" w:ascii="宋体" w:hAnsi="宋体" w:cs="宋体"/>
        </w:rPr>
        <w:t>╳</w:t>
      </w:r>
      <w:r>
        <w:t>分，共</w:t>
      </w:r>
      <w:r>
        <w:rPr>
          <w:rFonts w:hint="eastAsia" w:ascii="宋体" w:hAnsi="宋体" w:cs="宋体"/>
        </w:rPr>
        <w:t>╳</w:t>
      </w:r>
      <w:r>
        <w:t>分）</w:t>
      </w:r>
    </w:p>
    <w:p>
      <w:r>
        <w:t>1、简述土木工程的定义、范围，你打算怎样做好一个土木工程师？</w:t>
      </w:r>
    </w:p>
    <w:p/>
    <w:p>
      <w:r>
        <w:t>四、材料分析题（本大题</w:t>
      </w:r>
      <w:r>
        <w:rPr>
          <w:rFonts w:hint="eastAsia" w:ascii="宋体" w:hAnsi="宋体" w:cs="宋体"/>
        </w:rPr>
        <w:t>╳</w:t>
      </w:r>
      <w:r>
        <w:t>小题，每小题</w:t>
      </w:r>
      <w:r>
        <w:rPr>
          <w:rFonts w:hint="eastAsia" w:ascii="宋体" w:hAnsi="宋体" w:cs="宋体"/>
        </w:rPr>
        <w:t>╳</w:t>
      </w:r>
      <w:r>
        <w:t>分，共</w:t>
      </w:r>
      <w:r>
        <w:rPr>
          <w:rFonts w:hint="eastAsia" w:ascii="宋体" w:hAnsi="宋体" w:cs="宋体"/>
        </w:rPr>
        <w:t>╳</w:t>
      </w:r>
      <w:r>
        <w:t>分）</w:t>
      </w:r>
    </w:p>
    <w:p>
      <w:pPr>
        <w:widowControl/>
        <w:jc w:val="left"/>
        <w:rPr>
          <w:color w:val="000000"/>
          <w:szCs w:val="21"/>
        </w:rPr>
      </w:pPr>
      <w:r>
        <w:rPr>
          <w:bCs/>
          <w:color w:val="000000"/>
          <w:szCs w:val="21"/>
        </w:rPr>
        <w:t>1、材料一：</w:t>
      </w:r>
      <w:r>
        <w:rPr>
          <w:color w:val="000000"/>
          <w:szCs w:val="21"/>
        </w:rPr>
        <w:t>北美自由贸易区的建立，作为发展中国家的墨西哥是北美自由贸易区的最大受益者，成为世界上最具发展潜力和发展最快的国家之一。</w:t>
      </w:r>
    </w:p>
    <w:p>
      <w:pPr>
        <w:widowControl/>
        <w:ind w:firstLine="420" w:firstLineChars="200"/>
        <w:jc w:val="left"/>
        <w:rPr>
          <w:szCs w:val="21"/>
        </w:rPr>
      </w:pPr>
      <w:r>
        <w:rPr>
          <w:bCs/>
          <w:color w:val="000000"/>
          <w:szCs w:val="21"/>
        </w:rPr>
        <w:t>材料二：</w:t>
      </w:r>
      <w:r>
        <w:rPr>
          <w:szCs w:val="21"/>
        </w:rPr>
        <w:t>贸易协定取消了多数从墨西哥进入美国的电子产品的关税后，导致出口在协定生效后的头两年中增加了50%，市场准入的自由度加大也使多国公司，尤其是亚洲公司尝到了甜头，蒂华纳也变成了它们在北美的第一站，而且接近硅谷和加利佛尼亚的长滩港。这个墨西哥人口约100万的边境小镇蒂华纳，就有三星公司、索尼公司、日立公司和松下电器JVC分部在这样的偏僻小镇开的子公司，在该镇，受雇于这些多国公司的墨西哥人已达2.46万人。</w:t>
      </w:r>
    </w:p>
    <w:p>
      <w:pPr>
        <w:widowControl/>
        <w:ind w:firstLine="420" w:firstLineChars="200"/>
        <w:jc w:val="left"/>
        <w:rPr>
          <w:szCs w:val="21"/>
        </w:rPr>
      </w:pPr>
      <w:r>
        <w:rPr>
          <w:szCs w:val="21"/>
        </w:rPr>
        <w:t>由于墨西哥有廉价的劳动力，贸易壁垒的取消，在墨西哥城镇大量生产这些低成本的产品，在将其出口到美国消费者看来已是未来的潮流。例如，目前三星公司每年生产的电视机中有90%将销往美国。在这种力量的作用下，制造业工作机会从美国源源流往墨西哥。</w:t>
      </w:r>
    </w:p>
    <w:p>
      <w:pPr>
        <w:widowControl/>
        <w:ind w:firstLine="420" w:firstLineChars="200"/>
        <w:jc w:val="left"/>
        <w:rPr>
          <w:color w:val="000000"/>
          <w:kern w:val="0"/>
          <w:szCs w:val="21"/>
        </w:rPr>
      </w:pPr>
      <w:r>
        <w:rPr>
          <w:szCs w:val="21"/>
        </w:rPr>
        <w:t>在墨西哥最近的经济一片衰退中，将进口零件组装成产品的边境工厂是唯一的亮点。就业率增加了13%多，新就业人数超过15.1万，边境工厂的出口量增加了10%以上。</w:t>
      </w:r>
    </w:p>
    <w:p>
      <w:pPr>
        <w:widowControl/>
        <w:jc w:val="left"/>
        <w:rPr>
          <w:color w:val="000000"/>
          <w:kern w:val="0"/>
          <w:szCs w:val="21"/>
        </w:rPr>
      </w:pPr>
      <w:r>
        <w:rPr>
          <w:color w:val="000000"/>
          <w:szCs w:val="21"/>
        </w:rPr>
        <w:t xml:space="preserve">   </w:t>
      </w:r>
      <w:r>
        <w:rPr>
          <w:bCs/>
          <w:color w:val="000000"/>
          <w:szCs w:val="21"/>
        </w:rPr>
        <w:t>材料三</w:t>
      </w:r>
      <w:r>
        <w:rPr>
          <w:color w:val="000000"/>
          <w:szCs w:val="21"/>
        </w:rPr>
        <w:t>：工业方面，由于各种关税壁垒和非关税壁垒逐步消失，墨西哥国内市场门户大开，进口产品蜂拥而入。尽管消费者得到了更多、更好、更便宜的产品，但墨西哥本国的民族工业也受到了一定的影响，企业不得不面对更激烈的竞争，许多企业无法维持下去，但只挣加工费的加工贸易企业发展却很迅猛。农业发面，从美国进口的农产品从1994年以来增长了726%，导致墨西哥国内的小农阶级几乎消失殆尽，损失的工作机会达到130万之多。</w:t>
      </w:r>
    </w:p>
    <w:p>
      <w:pPr>
        <w:ind w:firstLine="308" w:firstLineChars="147"/>
        <w:rPr>
          <w:color w:val="000000"/>
          <w:szCs w:val="21"/>
        </w:rPr>
      </w:pPr>
      <w:r>
        <w:rPr>
          <w:bCs/>
          <w:color w:val="000000"/>
          <w:szCs w:val="21"/>
        </w:rPr>
        <w:t>材料四：</w:t>
      </w:r>
      <w:r>
        <w:rPr>
          <w:color w:val="000000"/>
          <w:szCs w:val="21"/>
        </w:rPr>
        <w:t>自2001年始，墨西哥经济随着美国经济衰退而呈现出停滞状态，2001年至2003年的经济增长率分别为－0.1％、0.7％和1.3％，年均增长率仅为0.6％。2004年以来，随着世界各国经济形势普遍好转，特别是美国的良好增长态势，墨西哥经济也出现复苏迹象。</w:t>
      </w:r>
    </w:p>
    <w:p>
      <w:pPr>
        <w:rPr>
          <w:color w:val="000000"/>
          <w:szCs w:val="21"/>
        </w:rPr>
      </w:pPr>
      <w:r>
        <w:rPr>
          <w:szCs w:val="21"/>
        </w:rPr>
        <w:t>（1）通过材料一材料二，说明北美自由贸易区的建立（贸易发展）对墨西哥经济发展带来的好处？</w:t>
      </w:r>
      <w:r>
        <w:rPr>
          <w:color w:val="000000"/>
          <w:szCs w:val="21"/>
        </w:rPr>
        <w:t xml:space="preserve"> </w:t>
      </w:r>
      <w:r>
        <w:rPr>
          <w:bCs/>
          <w:kern w:val="0"/>
          <w:szCs w:val="21"/>
        </w:rPr>
        <w:t>（</w:t>
      </w:r>
      <w:r>
        <w:rPr>
          <w:rFonts w:hint="eastAsia" w:ascii="宋体" w:hAnsi="宋体" w:cs="宋体"/>
          <w:szCs w:val="21"/>
        </w:rPr>
        <w:t>╳</w:t>
      </w:r>
      <w:r>
        <w:rPr>
          <w:bCs/>
          <w:kern w:val="0"/>
          <w:szCs w:val="21"/>
        </w:rPr>
        <w:t>分）</w:t>
      </w:r>
    </w:p>
    <w:p>
      <w:pPr>
        <w:rPr>
          <w:szCs w:val="21"/>
        </w:rPr>
      </w:pPr>
      <w:r>
        <w:rPr>
          <w:szCs w:val="21"/>
        </w:rPr>
        <w:t>（2）通过材料三材料四，说明</w:t>
      </w:r>
      <w:r>
        <w:rPr>
          <w:color w:val="000000"/>
          <w:szCs w:val="21"/>
        </w:rPr>
        <w:t>北美自由贸易区</w:t>
      </w:r>
      <w:r>
        <w:rPr>
          <w:szCs w:val="21"/>
        </w:rPr>
        <w:t>对墨西哥经济发展带来的问题？</w:t>
      </w:r>
      <w:r>
        <w:rPr>
          <w:bCs/>
          <w:kern w:val="0"/>
          <w:szCs w:val="21"/>
        </w:rPr>
        <w:t>（</w:t>
      </w:r>
      <w:r>
        <w:rPr>
          <w:rFonts w:hint="eastAsia" w:ascii="宋体" w:hAnsi="宋体" w:cs="宋体"/>
          <w:szCs w:val="21"/>
        </w:rPr>
        <w:t>╳</w:t>
      </w:r>
      <w:r>
        <w:rPr>
          <w:bCs/>
          <w:kern w:val="0"/>
          <w:szCs w:val="21"/>
        </w:rPr>
        <w:t>分）</w:t>
      </w:r>
    </w:p>
    <w:p/>
    <w:p>
      <w:r>
        <w:t>五、案例分析题（本大题</w:t>
      </w:r>
      <w:r>
        <w:rPr>
          <w:rFonts w:hint="eastAsia" w:ascii="宋体" w:hAnsi="宋体" w:cs="宋体"/>
        </w:rPr>
        <w:t>╳</w:t>
      </w:r>
      <w:r>
        <w:t>小题，每小题</w:t>
      </w:r>
      <w:r>
        <w:rPr>
          <w:rFonts w:hint="eastAsia" w:ascii="宋体" w:hAnsi="宋体" w:cs="宋体"/>
        </w:rPr>
        <w:t>╳</w:t>
      </w:r>
      <w:r>
        <w:t>分，共</w:t>
      </w:r>
      <w:r>
        <w:rPr>
          <w:rFonts w:hint="eastAsia" w:ascii="宋体" w:hAnsi="宋体" w:cs="宋体"/>
        </w:rPr>
        <w:t>╳</w:t>
      </w:r>
      <w:r>
        <w:t>分）</w:t>
      </w:r>
    </w:p>
    <w:p>
      <w:pPr>
        <w:rPr>
          <w:bCs/>
          <w:kern w:val="0"/>
          <w:szCs w:val="21"/>
        </w:rPr>
      </w:pPr>
      <w:r>
        <w:rPr>
          <w:bCs/>
          <w:color w:val="000000"/>
          <w:szCs w:val="21"/>
        </w:rPr>
        <w:t>1、</w:t>
      </w:r>
      <w:r>
        <w:rPr>
          <w:bCs/>
          <w:kern w:val="0"/>
          <w:szCs w:val="21"/>
        </w:rPr>
        <w:t>对洛阳钼业收购Tenke铜钴矿”的分析</w:t>
      </w:r>
    </w:p>
    <w:p>
      <w:pPr>
        <w:ind w:firstLine="420" w:firstLineChars="200"/>
        <w:rPr>
          <w:bCs/>
          <w:kern w:val="0"/>
          <w:szCs w:val="21"/>
        </w:rPr>
      </w:pPr>
      <w:r>
        <w:rPr>
          <w:bCs/>
          <w:kern w:val="0"/>
          <w:szCs w:val="21"/>
        </w:rPr>
        <w:t>《华尔街见闻》2016年5月10电，美国矿业巨头Freeport-McMoRan（下称“自由港”）周一宣布，已同意将刚果最大铜钴矿Tenke Fungurume（下称“ Tenke铜钴矿”）的所有股权出售给洛阳栾川钼业集团股份有限公司（简称“洛阳钼业”），交易价格为26.5亿美元现金。Freeport间接持有Tenke 56%的有效股权。该公司周一表示，根据交易条款，如果2018年至2019年间铜均价超过每磅3.50美元，洛阳钼业将向其额外支付6000万美元，如果钴均价超过每磅20美元也是如此。</w:t>
      </w:r>
    </w:p>
    <w:p>
      <w:pPr>
        <w:ind w:firstLine="420" w:firstLineChars="200"/>
        <w:rPr>
          <w:bCs/>
          <w:kern w:val="0"/>
          <w:szCs w:val="21"/>
        </w:rPr>
      </w:pPr>
      <w:r>
        <w:rPr>
          <w:bCs/>
          <w:kern w:val="0"/>
          <w:szCs w:val="21"/>
        </w:rPr>
        <w:t>这是洛钼集团在不到两周内达成的第二起重大并购交易。</w:t>
      </w:r>
    </w:p>
    <w:p>
      <w:pPr>
        <w:ind w:firstLine="420" w:firstLineChars="200"/>
        <w:rPr>
          <w:bCs/>
          <w:kern w:val="0"/>
          <w:szCs w:val="21"/>
        </w:rPr>
      </w:pPr>
      <w:r>
        <w:rPr>
          <w:bCs/>
          <w:kern w:val="0"/>
          <w:szCs w:val="21"/>
        </w:rPr>
        <w:t>该集团上月底刚刚宣布，以15亿美元收购英美资源公司在巴西的铌矿和磷矿资产。</w:t>
      </w:r>
    </w:p>
    <w:p>
      <w:pPr>
        <w:ind w:firstLine="420" w:firstLineChars="200"/>
        <w:rPr>
          <w:bCs/>
          <w:kern w:val="0"/>
          <w:szCs w:val="21"/>
        </w:rPr>
      </w:pPr>
      <w:r>
        <w:rPr>
          <w:bCs/>
          <w:kern w:val="0"/>
          <w:szCs w:val="21"/>
        </w:rPr>
        <w:t>洛阳钼业目前是全球最大钼和钨生产商之一、澳洲第四大铜生产商，本次交易结束后，洛阳钼业将成为全球最大钴生产商和第二大铌生产商。</w:t>
      </w:r>
    </w:p>
    <w:p>
      <w:pPr>
        <w:ind w:firstLine="420" w:firstLineChars="200"/>
        <w:rPr>
          <w:bCs/>
          <w:kern w:val="0"/>
          <w:szCs w:val="21"/>
        </w:rPr>
      </w:pPr>
      <w:r>
        <w:rPr>
          <w:bCs/>
          <w:kern w:val="0"/>
          <w:szCs w:val="21"/>
        </w:rPr>
        <w:t>洛阳钼业如今正在寻求更多收购机会。该公司认为，现在正是从陷入困境的西方竞争对手那里攫取优质资产的正确时机。该公司表示，它现有逾40亿美元资金用于资产收购。</w:t>
      </w:r>
    </w:p>
    <w:p>
      <w:pPr>
        <w:ind w:firstLine="420" w:firstLineChars="200"/>
        <w:rPr>
          <w:bCs/>
          <w:kern w:val="0"/>
          <w:szCs w:val="21"/>
        </w:rPr>
      </w:pPr>
      <w:r>
        <w:rPr>
          <w:bCs/>
          <w:kern w:val="0"/>
          <w:szCs w:val="21"/>
        </w:rPr>
        <w:t>在接受英国《金融时报》采访时，洛阳钼业的两名高管表示，该公司在推进收购交易方面一直“很耐心”，但他们相信，现在的大宗商品周期适合扩张。</w:t>
      </w:r>
    </w:p>
    <w:p>
      <w:pPr>
        <w:ind w:firstLine="420" w:firstLineChars="200"/>
        <w:rPr>
          <w:bCs/>
          <w:kern w:val="0"/>
          <w:szCs w:val="21"/>
        </w:rPr>
      </w:pPr>
      <w:r>
        <w:rPr>
          <w:bCs/>
          <w:kern w:val="0"/>
          <w:szCs w:val="21"/>
        </w:rPr>
        <w:t>洛阳钼业董事长李朝春说对：“我们认为，现在正是周期的底部。”</w:t>
      </w:r>
    </w:p>
    <w:p>
      <w:pPr>
        <w:ind w:firstLine="420" w:firstLineChars="200"/>
        <w:rPr>
          <w:bCs/>
          <w:kern w:val="0"/>
          <w:szCs w:val="21"/>
        </w:rPr>
      </w:pPr>
      <w:r>
        <w:rPr>
          <w:bCs/>
          <w:kern w:val="0"/>
          <w:szCs w:val="21"/>
        </w:rPr>
        <w:t>请回答：</w:t>
      </w:r>
    </w:p>
    <w:p>
      <w:pPr>
        <w:ind w:firstLine="420" w:firstLineChars="200"/>
        <w:rPr>
          <w:bCs/>
          <w:kern w:val="0"/>
          <w:szCs w:val="21"/>
        </w:rPr>
      </w:pPr>
      <w:r>
        <w:rPr>
          <w:szCs w:val="21"/>
        </w:rPr>
        <w:t>（1）</w:t>
      </w:r>
      <w:r>
        <w:rPr>
          <w:bCs/>
          <w:kern w:val="0"/>
          <w:szCs w:val="21"/>
        </w:rPr>
        <w:t>洛阳钼业需要对客户资信开展调查。调查的的范围包含哪些内容？（</w:t>
      </w:r>
      <w:r>
        <w:rPr>
          <w:rFonts w:hint="eastAsia" w:ascii="宋体" w:hAnsi="宋体" w:cs="宋体"/>
          <w:szCs w:val="21"/>
        </w:rPr>
        <w:t>╳</w:t>
      </w:r>
      <w:r>
        <w:rPr>
          <w:bCs/>
          <w:kern w:val="0"/>
          <w:szCs w:val="21"/>
        </w:rPr>
        <w:t>分）</w:t>
      </w:r>
    </w:p>
    <w:p>
      <w:pPr>
        <w:ind w:firstLine="420" w:firstLineChars="200"/>
        <w:rPr>
          <w:bCs/>
          <w:kern w:val="0"/>
          <w:szCs w:val="21"/>
        </w:rPr>
      </w:pPr>
      <w:r>
        <w:rPr>
          <w:szCs w:val="21"/>
        </w:rPr>
        <w:t>（2）</w:t>
      </w:r>
      <w:r>
        <w:rPr>
          <w:bCs/>
          <w:kern w:val="0"/>
          <w:szCs w:val="21"/>
        </w:rPr>
        <w:t>本次洛阳钼业收购“ Tenke铜钴矿”，存在哪些政治风险？（</w:t>
      </w:r>
      <w:r>
        <w:rPr>
          <w:rFonts w:hint="eastAsia" w:ascii="宋体" w:hAnsi="宋体" w:cs="宋体"/>
          <w:szCs w:val="21"/>
        </w:rPr>
        <w:t>╳</w:t>
      </w:r>
      <w:r>
        <w:rPr>
          <w:bCs/>
          <w:kern w:val="0"/>
          <w:szCs w:val="21"/>
        </w:rPr>
        <w:t>分）</w:t>
      </w:r>
    </w:p>
    <w:p>
      <w:pPr>
        <w:ind w:firstLine="420" w:firstLineChars="200"/>
        <w:rPr>
          <w:bCs/>
          <w:kern w:val="0"/>
          <w:szCs w:val="21"/>
        </w:rPr>
      </w:pPr>
      <w:r>
        <w:rPr>
          <w:szCs w:val="21"/>
        </w:rPr>
        <w:t>（3）</w:t>
      </w:r>
      <w:r>
        <w:rPr>
          <w:bCs/>
          <w:kern w:val="0"/>
          <w:szCs w:val="21"/>
        </w:rPr>
        <w:t>应如控制这些政治风险？（</w:t>
      </w:r>
      <w:r>
        <w:rPr>
          <w:rFonts w:hint="eastAsia" w:ascii="宋体" w:hAnsi="宋体" w:cs="宋体"/>
          <w:szCs w:val="21"/>
        </w:rPr>
        <w:t>╳</w:t>
      </w:r>
      <w:r>
        <w:rPr>
          <w:bCs/>
          <w:kern w:val="0"/>
          <w:szCs w:val="21"/>
        </w:rPr>
        <w:t>分）</w:t>
      </w:r>
    </w:p>
    <w:p>
      <w:pPr>
        <w:ind w:firstLine="420" w:firstLineChars="200"/>
        <w:rPr>
          <w:bCs/>
          <w:kern w:val="0"/>
          <w:szCs w:val="21"/>
        </w:rPr>
      </w:pPr>
      <w:r>
        <w:rPr>
          <w:szCs w:val="21"/>
        </w:rPr>
        <w:t>（4）</w:t>
      </w:r>
      <w:r>
        <w:rPr>
          <w:bCs/>
          <w:kern w:val="0"/>
          <w:szCs w:val="21"/>
        </w:rPr>
        <w:t>你对洛阳钼业有何建议？（</w:t>
      </w:r>
      <w:r>
        <w:rPr>
          <w:rFonts w:hint="eastAsia" w:ascii="宋体" w:hAnsi="宋体" w:cs="宋体"/>
          <w:szCs w:val="21"/>
        </w:rPr>
        <w:t>╳</w:t>
      </w:r>
      <w:r>
        <w:rPr>
          <w:bCs/>
          <w:kern w:val="0"/>
          <w:szCs w:val="21"/>
        </w:rPr>
        <w:t>分）</w:t>
      </w:r>
    </w:p>
    <w:p/>
    <w:p>
      <w:pPr>
        <w:numPr>
          <w:ilvl w:val="0"/>
          <w:numId w:val="2"/>
        </w:numPr>
      </w:pPr>
      <w:r>
        <w:t>计算题（本大题</w:t>
      </w:r>
      <w:r>
        <w:rPr>
          <w:rFonts w:hint="eastAsia" w:ascii="宋体" w:hAnsi="宋体" w:cs="宋体"/>
        </w:rPr>
        <w:t>╳</w:t>
      </w:r>
      <w:r>
        <w:t>小题，每小题</w:t>
      </w:r>
      <w:r>
        <w:rPr>
          <w:rFonts w:hint="eastAsia" w:ascii="宋体" w:hAnsi="宋体" w:cs="宋体"/>
        </w:rPr>
        <w:t>╳</w:t>
      </w:r>
      <w:r>
        <w:t>分，共</w:t>
      </w:r>
      <w:r>
        <w:rPr>
          <w:rFonts w:hint="eastAsia" w:ascii="宋体" w:hAnsi="宋体" w:cs="宋体"/>
        </w:rPr>
        <w:t>╳</w:t>
      </w:r>
      <w:r>
        <w:t>分）</w:t>
      </w:r>
    </w:p>
    <w:p>
      <w:r>
        <w:rPr>
          <w:bCs/>
          <w:color w:val="000000"/>
          <w:szCs w:val="21"/>
        </w:rPr>
        <w:t>1、</w:t>
      </w:r>
      <w:r>
        <w:t>装载货物的运输工具于2016年4月16日（星期一）申报进境，该批货物于2014年5月3日向海关申报，海关当天接受申报。（注：国家调整休息日，4月28日（星期六）上班，4月29日至5月1日放假调休，其中5月1日为法定节假日），该批货物的完税价格为56000元人民币，计算该批货物应缴纳的滞报金。</w:t>
      </w:r>
    </w:p>
    <w:p>
      <w:pPr>
        <w:spacing w:line="360" w:lineRule="auto"/>
        <w:ind w:right="-1"/>
        <w:rPr>
          <w:rFonts w:eastAsiaTheme="minorEastAsia"/>
          <w:color w:val="000000"/>
          <w:sz w:val="24"/>
          <w:u w:val="single"/>
        </w:rPr>
      </w:pPr>
    </w:p>
    <w:p>
      <w:pPr>
        <w:spacing w:line="360" w:lineRule="auto"/>
        <w:ind w:right="-1" w:firstLine="4891" w:firstLineChars="1740"/>
        <w:rPr>
          <w:b/>
          <w:bCs/>
          <w:sz w:val="28"/>
          <w:szCs w:val="28"/>
          <w:u w:val="single"/>
        </w:rPr>
      </w:pPr>
    </w:p>
    <w:p>
      <w:pPr>
        <w:rPr>
          <w:rFonts w:eastAsia="黑体"/>
          <w:sz w:val="36"/>
        </w:rPr>
      </w:pPr>
    </w:p>
    <w:p>
      <w:pPr>
        <w:spacing w:line="360" w:lineRule="auto"/>
        <w:rPr>
          <w:rFonts w:eastAsiaTheme="minorEastAsia"/>
          <w:b/>
          <w:bCs/>
          <w:color w:val="FF0000"/>
          <w:szCs w:val="21"/>
        </w:rPr>
      </w:pPr>
      <w:r>
        <w:rPr>
          <w:rFonts w:eastAsia="仿宋_GB2312"/>
        </w:rPr>
        <w:t>要求：</w:t>
      </w:r>
      <w:r>
        <w:rPr>
          <w:rFonts w:eastAsiaTheme="minorEastAsia"/>
          <w:b/>
          <w:bCs/>
          <w:color w:val="FF0000"/>
          <w:szCs w:val="21"/>
        </w:rPr>
        <w:t>1.上下左右页边距为2厘米、正文单倍行距、中文宋体五号、</w:t>
      </w:r>
      <w:r>
        <w:rPr>
          <w:b/>
          <w:bCs/>
          <w:color w:val="FF0000"/>
          <w:sz w:val="24"/>
        </w:rPr>
        <w:t>英文及数字Times New Roman5号</w:t>
      </w:r>
      <w:r>
        <w:rPr>
          <w:rFonts w:eastAsiaTheme="minorEastAsia"/>
          <w:b/>
          <w:bCs/>
          <w:color w:val="FF0000"/>
          <w:szCs w:val="21"/>
        </w:rPr>
        <w:t>），尽量控制在A4纸1页、2页或4页之内；页脚务必标注页码（第？页共？页）字体居中小五号；注明大小题号，选择、填空题特别注意答题号。</w:t>
      </w:r>
    </w:p>
    <w:p>
      <w:pPr>
        <w:spacing w:line="360" w:lineRule="auto"/>
        <w:ind w:firstLine="422" w:firstLineChars="200"/>
        <w:rPr>
          <w:rFonts w:eastAsiaTheme="minorEastAsia"/>
          <w:b/>
          <w:bCs/>
          <w:color w:val="FF0000"/>
        </w:rPr>
      </w:pPr>
      <w:r>
        <w:rPr>
          <w:rFonts w:eastAsiaTheme="minorEastAsia"/>
          <w:b/>
          <w:bCs/>
          <w:color w:val="FF0000"/>
        </w:rPr>
        <w:t>2.每题必须留有足够的答题间距。试卷由多人流水改卷的，评卷人应在第一份试卷评卷人的每一栏内分别签全名，后面份数试卷签单字（姓或名），但务必保持统一；由单人改卷的，只需在试卷评卷人的最后一栏内签名，签名应签全名。</w:t>
      </w:r>
    </w:p>
    <w:p>
      <w:bookmarkStart w:id="0" w:name="_GoBack"/>
      <w:bookmarkEnd w:id="0"/>
    </w:p>
    <w:sectPr>
      <w:footerReference r:id="rId3" w:type="default"/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3 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4FCBAE0"/>
    <w:multiLevelType w:val="singleLevel"/>
    <w:tmpl w:val="B4FCBAE0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0FEF209"/>
    <w:multiLevelType w:val="singleLevel"/>
    <w:tmpl w:val="50FEF209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6B0628"/>
    <w:rsid w:val="00006EFE"/>
    <w:rsid w:val="005C1838"/>
    <w:rsid w:val="00851246"/>
    <w:rsid w:val="25F71BB9"/>
    <w:rsid w:val="2B8E2A9E"/>
    <w:rsid w:val="4B0515FE"/>
    <w:rsid w:val="626B0628"/>
    <w:rsid w:val="6479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7">
    <w:name w:val="0"/>
    <w:basedOn w:val="1"/>
    <w:qFormat/>
    <w:uiPriority w:val="0"/>
    <w:pPr>
      <w:widowControl/>
      <w:snapToGrid w:val="0"/>
      <w:ind w:hanging="27156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425</Words>
  <Characters>2424</Characters>
  <Lines>20</Lines>
  <Paragraphs>5</Paragraphs>
  <TotalTime>0</TotalTime>
  <ScaleCrop>false</ScaleCrop>
  <LinksUpToDate>false</LinksUpToDate>
  <CharactersWithSpaces>2844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2018-12-03T07:50:00Z</dcterms:created>
  <dc:creator>wsp</dc:creator>
  <cp:lastModifiedBy>wsp</cp:lastModifiedBy>
  <dcterms:modified xsi:type="dcterms:W3CDTF">2018-12-03T08:39:39Z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