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b/>
          <w:color w:val="FF0000"/>
          <w:spacing w:val="40"/>
          <w:w w:val="90"/>
          <w:kern w:val="15"/>
          <w:sz w:val="24"/>
        </w:rPr>
      </w:pPr>
      <w:bookmarkStart w:id="0" w:name="文件标题"/>
    </w:p>
    <w:p>
      <w:pPr>
        <w:ind w:left="-424" w:leftChars="-202"/>
        <w:jc w:val="center"/>
        <w:rPr>
          <w:rFonts w:ascii="Bookman Old Style" w:hAnsi="Bookman Old Style" w:cs="Bookman Old Style"/>
          <w:b/>
          <w:bCs/>
          <w:color w:val="FF0000"/>
          <w:spacing w:val="40"/>
          <w:w w:val="80"/>
          <w:kern w:val="15"/>
          <w:sz w:val="88"/>
          <w:szCs w:val="88"/>
        </w:rPr>
      </w:pPr>
    </w:p>
    <w:p>
      <w:pPr>
        <w:ind w:left="-424" w:leftChars="-202"/>
        <w:jc w:val="center"/>
        <w:rPr>
          <w:rFonts w:ascii="Bookman Old Style" w:hAnsi="Bookman Old Style" w:cs="Bookman Old Style"/>
          <w:b/>
          <w:bCs/>
          <w:color w:val="FF0000"/>
          <w:spacing w:val="40"/>
          <w:w w:val="80"/>
          <w:kern w:val="15"/>
          <w:sz w:val="88"/>
          <w:szCs w:val="88"/>
        </w:rPr>
      </w:pPr>
      <w:r>
        <w:rPr>
          <w:rFonts w:hint="eastAsia" w:ascii="Bookman Old Style" w:hAnsi="Bookman Old Style" w:cs="宋体"/>
          <w:b/>
          <w:bCs/>
          <w:color w:val="FF0000"/>
          <w:spacing w:val="40"/>
          <w:w w:val="80"/>
          <w:kern w:val="15"/>
          <w:sz w:val="88"/>
          <w:szCs w:val="88"/>
        </w:rPr>
        <w:t>福建省教育厅办公室文件</w:t>
      </w:r>
    </w:p>
    <w:p>
      <w:pPr>
        <w:ind w:left="-424" w:leftChars="-202"/>
        <w:jc w:val="center"/>
        <w:rPr>
          <w:rFonts w:ascii="仿宋_GB2312" w:eastAsia="仿宋_GB2312"/>
          <w:sz w:val="32"/>
          <w:szCs w:val="32"/>
        </w:rPr>
      </w:pPr>
      <w:r>
        <w:rPr>
          <w:rFonts w:hint="eastAsia" w:ascii="仿宋_GB2312" w:eastAsia="仿宋_GB2312" w:cs="仿宋_GB2312"/>
          <w:sz w:val="32"/>
          <w:szCs w:val="32"/>
        </w:rPr>
        <w:t>闽教办职成〔</w:t>
      </w:r>
      <w:r>
        <w:rPr>
          <w:rFonts w:ascii="仿宋_GB2312" w:eastAsia="仿宋_GB2312" w:cs="仿宋_GB2312"/>
          <w:sz w:val="32"/>
          <w:szCs w:val="32"/>
        </w:rPr>
        <w:t>2017</w:t>
      </w:r>
      <w:r>
        <w:rPr>
          <w:rFonts w:hint="eastAsia" w:ascii="仿宋_GB2312" w:eastAsia="仿宋_GB2312" w:cs="仿宋_GB2312"/>
          <w:sz w:val="32"/>
          <w:szCs w:val="32"/>
        </w:rPr>
        <w:t>〕36号</w:t>
      </w:r>
    </w:p>
    <w:p>
      <w:pPr>
        <w:tabs>
          <w:tab w:val="left" w:pos="7513"/>
        </w:tabs>
        <w:ind w:right="183" w:rightChars="87"/>
      </w:pPr>
      <w:r>
        <w:rPr>
          <w:lang/>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146685</wp:posOffset>
                </wp:positionV>
                <wp:extent cx="5760085" cy="8890"/>
                <wp:effectExtent l="0" t="0" r="0" b="0"/>
                <wp:wrapNone/>
                <wp:docPr id="1" name="自选图形 3"/>
                <wp:cNvGraphicFramePr/>
                <a:graphic xmlns:a="http://schemas.openxmlformats.org/drawingml/2006/main">
                  <a:graphicData uri="http://schemas.microsoft.com/office/word/2010/wordprocessingShape">
                    <wps:wsp>
                      <wps:cNvSpPr/>
                      <wps:spPr>
                        <a:xfrm flipV="1">
                          <a:off x="0" y="0"/>
                          <a:ext cx="5760085" cy="8890"/>
                        </a:xfrm>
                        <a:prstGeom prst="straightConnector1">
                          <a:avLst/>
                        </a:prstGeom>
                        <a:ln w="25400" cap="flat" cmpd="sng">
                          <a:solidFill>
                            <a:srgbClr val="FF0000"/>
                          </a:solidFill>
                          <a:prstDash val="solid"/>
                          <a:headEnd type="none" w="med" len="med"/>
                          <a:tailEnd type="none" w="med" len="med"/>
                        </a:ln>
                      </wps:spPr>
                      <wps:bodyPr wrap="square" upright="1"/>
                    </wps:wsp>
                  </a:graphicData>
                </a:graphic>
              </wp:anchor>
            </w:drawing>
          </mc:Choice>
          <mc:Fallback>
            <w:pict>
              <v:shape id="自选图形 3" o:spid="_x0000_s1026" o:spt="32" type="#_x0000_t32" style="position:absolute;left:0pt;flip:y;margin-left:-17.25pt;margin-top:11.55pt;height:0.7pt;width:453.55pt;z-index:251658240;mso-width-relative:page;mso-height-relative:page;" filled="f" stroked="t" coordsize="21600,21600" o:gfxdata="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hQqu2QAAAAkBAAAPAAAAAAAAAAEAIAAAACIAAABkcnMvZG93bnJldi54&#10;bWxQSwECFAAUAAAACACHTuJAvFrqYfkBAAC9AwAADgAAAAAAAAABACAAAAAoAQAAZHJzL2Uyb0Rv&#10;Yy54bWxQSwUGAAAAAAYABgBZAQAAkwUAAAAA&#10;">
                <v:fill on="f" focussize="0,0"/>
                <v:stroke weight="2pt" color="#FF0000" joinstyle="round"/>
                <v:imagedata o:title=""/>
                <o:lock v:ext="edit" aspectratio="f"/>
              </v:shape>
            </w:pict>
          </mc:Fallback>
        </mc:AlternateContent>
      </w:r>
    </w:p>
    <w:p>
      <w:pPr>
        <w:tabs>
          <w:tab w:val="left" w:pos="7797"/>
        </w:tabs>
        <w:spacing w:line="700" w:lineRule="exact"/>
        <w:jc w:val="center"/>
        <w:rPr>
          <w:rFonts w:hint="eastAsia" w:ascii="方正小标宋简体" w:hAnsi="宋体" w:eastAsia="方正小标宋简体"/>
          <w:sz w:val="44"/>
          <w:szCs w:val="36"/>
        </w:rPr>
      </w:pPr>
      <w:bookmarkStart w:id="3" w:name="_GoBack"/>
      <w:r>
        <w:rPr>
          <w:rFonts w:hint="eastAsia" w:ascii="方正小标宋简体" w:hAnsi="宋体" w:eastAsia="方正小标宋简体"/>
          <w:sz w:val="44"/>
          <w:szCs w:val="36"/>
        </w:rPr>
        <w:t>福建省教育厅办公室关于做好第二批继续教育网络课程申报工作的通知</w:t>
      </w:r>
      <w:bookmarkEnd w:id="0"/>
    </w:p>
    <w:bookmarkEnd w:id="3"/>
    <w:p>
      <w:pPr>
        <w:spacing w:line="480" w:lineRule="exact"/>
        <w:jc w:val="center"/>
        <w:rPr>
          <w:rFonts w:ascii="仿宋_GB2312" w:hAnsi="宋体" w:eastAsia="仿宋_GB2312"/>
          <w:sz w:val="32"/>
          <w:szCs w:val="32"/>
        </w:rPr>
      </w:pPr>
    </w:p>
    <w:p>
      <w:pPr>
        <w:spacing w:line="580" w:lineRule="exact"/>
        <w:rPr>
          <w:rFonts w:hint="eastAsia" w:ascii="仿宋_GB2312" w:hAnsi="宋体" w:eastAsia="仿宋_GB2312"/>
          <w:sz w:val="32"/>
          <w:szCs w:val="32"/>
        </w:rPr>
      </w:pPr>
      <w:r>
        <w:rPr>
          <w:rFonts w:hint="eastAsia" w:ascii="仿宋_GB2312" w:hAnsi="宋体" w:eastAsia="仿宋_GB2312"/>
          <w:sz w:val="32"/>
          <w:szCs w:val="32"/>
        </w:rPr>
        <w:t>各设区市、平潭综合实验区教育局，各高等院校、省属中等职业学校：</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根据《福建省教育厅关于开展继续教育网络课程评选活动的通知</w:t>
      </w:r>
      <w:bookmarkStart w:id="1" w:name="文件编号"/>
      <w:r>
        <w:rPr>
          <w:rFonts w:hint="eastAsia" w:ascii="仿宋_GB2312" w:hAnsi="宋体" w:eastAsia="仿宋_GB2312"/>
          <w:sz w:val="32"/>
          <w:szCs w:val="32"/>
        </w:rPr>
        <w:t>》（闽教职成〔</w:t>
      </w:r>
      <w:r>
        <w:rPr>
          <w:rFonts w:ascii="仿宋_GB2312" w:hAnsi="宋体" w:eastAsia="仿宋_GB2312"/>
          <w:sz w:val="32"/>
          <w:szCs w:val="32"/>
        </w:rPr>
        <w:t>2016〕31</w:t>
      </w:r>
      <w:bookmarkEnd w:id="1"/>
      <w:r>
        <w:rPr>
          <w:rFonts w:hint="eastAsia" w:ascii="仿宋_GB2312" w:hAnsi="宋体" w:eastAsia="仿宋_GB2312"/>
          <w:sz w:val="32"/>
          <w:szCs w:val="32"/>
        </w:rPr>
        <w:t>号），现就做好第二批申报工作通知如下：</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一、申报对象</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1.各市（县、区）教育局；</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2.各本科高校、成人高校和职业院校；</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3.各</w:t>
      </w:r>
      <w:r>
        <w:rPr>
          <w:rFonts w:hint="eastAsia" w:ascii="仿宋_GB2312" w:hAnsi="仿宋" w:eastAsia="仿宋_GB2312"/>
          <w:sz w:val="32"/>
          <w:szCs w:val="32"/>
          <w:shd w:val="clear" w:color="auto" w:fill="FFFFFF"/>
        </w:rPr>
        <w:t>社区大学、社区学院。</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二、课程要求</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（一）类别。</w:t>
      </w:r>
      <w:r>
        <w:rPr>
          <w:rFonts w:hint="eastAsia" w:ascii="仿宋_GB2312" w:hAnsi="宋体" w:eastAsia="仿宋_GB2312"/>
          <w:sz w:val="32"/>
          <w:szCs w:val="32"/>
        </w:rPr>
        <w:t>继续教育网络课程分为职业培训、社区教育、老年教育等三大类别。</w:t>
      </w:r>
    </w:p>
    <w:p>
      <w:pPr>
        <w:spacing w:line="58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（二）类型。</w:t>
      </w:r>
      <w:r>
        <w:rPr>
          <w:rFonts w:hint="eastAsia" w:ascii="仿宋_GB2312" w:hAnsi="宋体" w:eastAsia="仿宋_GB2312"/>
          <w:sz w:val="32"/>
          <w:szCs w:val="32"/>
        </w:rPr>
        <w:t>继续教育网络课程包括普通网络课程、微课、多媒体课件等类型。</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（三）内容。</w:t>
      </w:r>
      <w:r>
        <w:rPr>
          <w:rFonts w:hint="eastAsia" w:ascii="仿宋_GB2312" w:hAnsi="宋体" w:eastAsia="仿宋_GB2312"/>
          <w:sz w:val="32"/>
          <w:szCs w:val="32"/>
        </w:rPr>
        <w:t>申报</w:t>
      </w:r>
      <w:r>
        <w:rPr>
          <w:rFonts w:ascii="仿宋_GB2312" w:hAnsi="宋体" w:eastAsia="仿宋_GB2312"/>
          <w:sz w:val="32"/>
          <w:szCs w:val="32"/>
        </w:rPr>
        <w:t>的</w:t>
      </w:r>
      <w:r>
        <w:rPr>
          <w:rFonts w:hint="eastAsia" w:ascii="仿宋_GB2312" w:hAnsi="宋体" w:eastAsia="仿宋_GB2312"/>
          <w:sz w:val="32"/>
          <w:szCs w:val="32"/>
        </w:rPr>
        <w:t>继续教育网络课程能独立完成至少一种技能培训或一个知识系统讲授。内容重点方向为爱国教育、普法教育、科学知识、休闲文化、卫生健康、地域文化、民风民俗和实用技能培训等方面。</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（四）标准。</w:t>
      </w:r>
      <w:r>
        <w:rPr>
          <w:rFonts w:hint="eastAsia" w:ascii="仿宋_GB2312" w:hAnsi="宋体" w:eastAsia="仿宋_GB2312"/>
          <w:sz w:val="32"/>
          <w:szCs w:val="32"/>
        </w:rPr>
        <w:t>继续教育网络课程需按照《福建省继续教育网络课程建设指南》（见附件1）和《福建省继续教育网络课程技术标准》（见附件2）要求研发。</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三、申报程序</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（一）申报材料。</w:t>
      </w:r>
      <w:r>
        <w:rPr>
          <w:rFonts w:hint="eastAsia" w:ascii="仿宋_GB2312" w:hAnsi="宋体" w:eastAsia="仿宋_GB2312"/>
          <w:sz w:val="32"/>
          <w:szCs w:val="32"/>
        </w:rPr>
        <w:t>申报单位要填写《福建省优秀继续教育网络课程申报表》（见附件3，一题一报）和《福建省优秀继续教育网络课程汇总表》（见附件4）。</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（二）申报流程。</w:t>
      </w:r>
      <w:r>
        <w:rPr>
          <w:rFonts w:hint="eastAsia" w:ascii="仿宋_GB2312" w:hAnsi="宋体" w:eastAsia="仿宋_GB2312"/>
          <w:sz w:val="32"/>
          <w:szCs w:val="32"/>
        </w:rPr>
        <w:t>本科高校、成人高校和省属职业院校直接向我厅推荐报送；其他单位均由各地教育局汇总，逐级推荐报送。</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（三）申报时间。</w:t>
      </w:r>
      <w:r>
        <w:rPr>
          <w:rFonts w:hint="eastAsia" w:ascii="仿宋_GB2312" w:hAnsi="宋体" w:eastAsia="仿宋_GB2312"/>
          <w:sz w:val="32"/>
          <w:szCs w:val="32"/>
        </w:rPr>
        <w:t xml:space="preserve">各推荐单位于11月15日前将申报表和汇总表（含电子版）报送我厅。我厅对申报表（建设方案）进行初审后公布初步入围名单，各入围单位须于2018年3月15日前将继续教育网络课程作品报送我厅。 </w:t>
      </w:r>
    </w:p>
    <w:p>
      <w:pPr>
        <w:spacing w:line="580" w:lineRule="exact"/>
        <w:ind w:firstLine="640" w:firstLineChars="200"/>
        <w:rPr>
          <w:rFonts w:hint="eastAsia" w:ascii="黑体" w:hAnsi="宋体" w:eastAsia="黑体"/>
          <w:sz w:val="32"/>
          <w:szCs w:val="32"/>
        </w:rPr>
      </w:pPr>
      <w:r>
        <w:rPr>
          <w:rFonts w:hint="eastAsia" w:ascii="黑体" w:hAnsi="宋体" w:eastAsia="黑体"/>
          <w:sz w:val="32"/>
          <w:szCs w:val="32"/>
        </w:rPr>
        <w:t>四、有关要求</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（一）加强领导。</w:t>
      </w:r>
      <w:r>
        <w:rPr>
          <w:rFonts w:hint="eastAsia" w:ascii="仿宋_GB2312" w:hAnsi="宋体" w:eastAsia="仿宋_GB2312"/>
          <w:sz w:val="32"/>
          <w:szCs w:val="32"/>
        </w:rPr>
        <w:t>开展继续教育网络课程评选活动是加快我省继续教育、终身教育信息化建设的重要举措，各有关单位要高度重视，切实做好组织保障工作。各申报单位要组建一支职责明确、结构合理、人员稳定、教学水平高的继续教育研发团队开展相关工作,确定研发的继续教育网络课程无著作权侵权行为，内容符合国家法律法规规定。各入围单位要安排一定的经费予以支持，确保继续教育网络课程建设工作顺利完成。</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（二）经费补助。</w:t>
      </w:r>
      <w:r>
        <w:rPr>
          <w:rFonts w:hint="eastAsia" w:ascii="仿宋_GB2312" w:hAnsi="宋体" w:eastAsia="仿宋_GB2312"/>
          <w:sz w:val="32"/>
          <w:szCs w:val="32"/>
        </w:rPr>
        <w:t>为引导学校（单位）积极参与继续教育网络课程建设，调动教科研人员积极性，省级将对评选确认的每门优秀课程给予2万元的经费补助。</w:t>
      </w:r>
    </w:p>
    <w:p>
      <w:pPr>
        <w:spacing w:line="58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（三）资源共享。</w:t>
      </w:r>
      <w:r>
        <w:rPr>
          <w:rFonts w:hint="eastAsia" w:ascii="仿宋_GB2312" w:hAnsi="宋体" w:eastAsia="仿宋_GB2312"/>
          <w:sz w:val="32"/>
          <w:szCs w:val="32"/>
        </w:rPr>
        <w:t>申报并被确认的继续教育网络课程，视为同意将课程上传到“福建终身学习在线”“福建老年学习网”“福建职业教育与终身教育网”等网站，向学校、社会免费开放。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联系人：陈晋淞，电话：0591-87091515，电子邮箱：fjzcc@163.com，地址：福州市鼓屏路162号706。</w:t>
      </w:r>
    </w:p>
    <w:p>
      <w:pPr>
        <w:spacing w:line="580" w:lineRule="exact"/>
        <w:ind w:firstLine="640" w:firstLineChars="200"/>
        <w:rPr>
          <w:rFonts w:hint="eastAsia" w:ascii="仿宋_GB2312" w:hAnsi="宋体" w:eastAsia="仿宋_GB2312"/>
          <w:sz w:val="32"/>
          <w:szCs w:val="32"/>
        </w:rPr>
      </w:pP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 1.福建省继续教育网络课程建设指南</w:t>
      </w:r>
    </w:p>
    <w:p>
      <w:pPr>
        <w:spacing w:line="580" w:lineRule="exact"/>
        <w:ind w:firstLine="1600" w:firstLineChars="500"/>
        <w:rPr>
          <w:rFonts w:hint="eastAsia" w:ascii="仿宋_GB2312" w:hAnsi="宋体" w:eastAsia="仿宋_GB2312"/>
          <w:sz w:val="32"/>
          <w:szCs w:val="32"/>
        </w:rPr>
      </w:pPr>
      <w:r>
        <w:rPr>
          <w:rFonts w:hint="eastAsia" w:ascii="仿宋_GB2312" w:hAnsi="宋体" w:eastAsia="仿宋_GB2312"/>
          <w:sz w:val="32"/>
          <w:szCs w:val="32"/>
        </w:rPr>
        <w:t>2.福建省继续教育网络课程技术标准</w:t>
      </w:r>
    </w:p>
    <w:p>
      <w:pPr>
        <w:spacing w:line="580" w:lineRule="exact"/>
        <w:ind w:firstLine="1600" w:firstLineChars="500"/>
        <w:rPr>
          <w:rFonts w:hint="eastAsia" w:ascii="仿宋_GB2312" w:hAnsi="宋体" w:eastAsia="仿宋_GB2312"/>
          <w:sz w:val="32"/>
          <w:szCs w:val="32"/>
        </w:rPr>
      </w:pPr>
      <w:r>
        <w:rPr>
          <w:rFonts w:hint="eastAsia" w:ascii="仿宋_GB2312" w:hAnsi="宋体" w:eastAsia="仿宋_GB2312"/>
          <w:sz w:val="32"/>
          <w:szCs w:val="32"/>
        </w:rPr>
        <w:t>3.福建省优秀继续教育网络课程申报表</w:t>
      </w:r>
    </w:p>
    <w:p>
      <w:pPr>
        <w:spacing w:line="580" w:lineRule="exact"/>
        <w:ind w:firstLine="1600" w:firstLineChars="500"/>
        <w:rPr>
          <w:rFonts w:hint="eastAsia" w:ascii="仿宋_GB2312" w:hAnsi="宋体" w:eastAsia="仿宋_GB2312"/>
          <w:sz w:val="32"/>
          <w:szCs w:val="32"/>
        </w:rPr>
      </w:pPr>
      <w:r>
        <w:rPr>
          <w:rFonts w:hint="eastAsia" w:ascii="仿宋_GB2312" w:hAnsi="宋体" w:eastAsia="仿宋_GB2312"/>
          <w:sz w:val="32"/>
          <w:szCs w:val="32"/>
        </w:rPr>
        <w:t>4.福建省优秀继续教育网络课程汇总表</w:t>
      </w: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spacing w:line="580" w:lineRule="exact"/>
        <w:jc w:val="center"/>
        <w:rPr>
          <w:rFonts w:hint="eastAsia" w:ascii="仿宋_GB2312" w:hAnsi="宋体" w:eastAsia="仿宋_GB2312"/>
          <w:sz w:val="32"/>
          <w:szCs w:val="32"/>
        </w:rPr>
      </w:pPr>
      <w:r>
        <w:rPr>
          <w:rFonts w:hint="eastAsia" w:ascii="仿宋_GB2312" w:hAnsi="宋体" w:eastAsia="仿宋_GB2312"/>
          <w:sz w:val="32"/>
          <w:szCs w:val="32"/>
        </w:rPr>
        <w:t xml:space="preserve">                                 福建省教育厅办公室</w:t>
      </w:r>
    </w:p>
    <w:p>
      <w:pPr>
        <w:spacing w:line="580" w:lineRule="exact"/>
        <w:jc w:val="right"/>
        <w:rPr>
          <w:rFonts w:hint="eastAsia" w:ascii="仿宋_GB2312" w:hAnsi="宋体" w:eastAsia="仿宋_GB2312"/>
          <w:sz w:val="32"/>
          <w:szCs w:val="32"/>
        </w:rPr>
      </w:pPr>
      <w:r>
        <w:rPr>
          <w:rFonts w:hint="eastAsia" w:ascii="仿宋_GB2312" w:hAnsi="宋体" w:eastAsia="仿宋_GB2312"/>
          <w:sz w:val="32"/>
          <w:szCs w:val="32"/>
        </w:rPr>
        <w:t xml:space="preserve">2017年10月23日 </w:t>
      </w:r>
    </w:p>
    <w:p>
      <w:pPr>
        <w:spacing w:line="480" w:lineRule="exact"/>
        <w:rPr>
          <w:rFonts w:hint="eastAsia" w:ascii="黑体" w:hAnsi="宋体" w:eastAsia="黑体"/>
          <w:sz w:val="28"/>
          <w:szCs w:val="28"/>
        </w:rPr>
      </w:pPr>
      <w:bookmarkStart w:id="2" w:name="_GoBack"/>
      <w:bookmarkEnd w:id="2"/>
      <w:r>
        <w:rPr>
          <w:rFonts w:ascii="仿宋_GB2312" w:hAnsi="宋体" w:eastAsia="仿宋_GB2312"/>
          <w:sz w:val="32"/>
          <w:szCs w:val="32"/>
        </w:rPr>
        <w:br w:type="page"/>
      </w:r>
      <w:r>
        <w:rPr>
          <w:rFonts w:hint="eastAsia" w:ascii="黑体" w:hAnsi="宋体" w:eastAsia="黑体"/>
          <w:sz w:val="32"/>
          <w:szCs w:val="32"/>
        </w:rPr>
        <w:t>附件1</w:t>
      </w:r>
    </w:p>
    <w:p>
      <w:pPr>
        <w:jc w:val="center"/>
        <w:rPr>
          <w:rFonts w:hint="eastAsia" w:ascii="方正小标宋简体" w:hAnsi="宋体" w:eastAsia="方正小标宋简体" w:cs="仿宋"/>
          <w:bCs/>
          <w:sz w:val="44"/>
          <w:szCs w:val="44"/>
        </w:rPr>
      </w:pPr>
      <w:r>
        <w:rPr>
          <w:rFonts w:hint="eastAsia" w:ascii="方正小标宋简体" w:hAnsi="宋体" w:eastAsia="方正小标宋简体" w:cs="仿宋"/>
          <w:bCs/>
          <w:sz w:val="44"/>
          <w:szCs w:val="44"/>
        </w:rPr>
        <w:t>福建省继续教育网络课程建设指南</w:t>
      </w:r>
    </w:p>
    <w:p>
      <w:pPr>
        <w:pStyle w:val="6"/>
        <w:shd w:val="clear" w:color="auto" w:fill="FFFFFF"/>
        <w:ind w:firstLine="643" w:firstLineChars="200"/>
        <w:rPr>
          <w:rFonts w:hint="eastAsia" w:ascii="仿宋_GB2312" w:eastAsia="仿宋_GB2312" w:cs="仿宋_GB2312"/>
          <w:b/>
          <w:color w:val="000000"/>
          <w:sz w:val="32"/>
          <w:szCs w:val="32"/>
        </w:rPr>
      </w:pPr>
    </w:p>
    <w:p>
      <w:pPr>
        <w:pStyle w:val="6"/>
        <w:shd w:val="clear" w:color="auto" w:fill="FFFFFF"/>
        <w:ind w:firstLine="643" w:firstLineChars="200"/>
        <w:rPr>
          <w:rFonts w:hint="eastAsia" w:ascii="仿宋_GB2312" w:eastAsia="仿宋_GB2312" w:cs="仿宋_GB2312"/>
          <w:color w:val="000000"/>
          <w:sz w:val="32"/>
          <w:szCs w:val="32"/>
          <w:lang w:val="en-US" w:eastAsia="zh-CN"/>
        </w:rPr>
      </w:pPr>
      <w:r>
        <w:rPr>
          <w:rFonts w:hint="eastAsia" w:ascii="仿宋_GB2312" w:eastAsia="仿宋_GB2312" w:cs="仿宋_GB2312"/>
          <w:b/>
          <w:color w:val="000000"/>
          <w:sz w:val="32"/>
          <w:szCs w:val="32"/>
        </w:rPr>
        <w:t>1.指导思想</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继续教育网络课程建设要以服务继续教育、终身教育为宗旨，要按网络学习特点和成人学习习惯进行课程资源整体设计。教学设计要围绕教学目标进行针对性设计，能够有效解决教与学过程中的重点、难点、疑点问题。</w:t>
      </w:r>
    </w:p>
    <w:p>
      <w:pPr>
        <w:ind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2.研发团队。</w:t>
      </w:r>
      <w:r>
        <w:rPr>
          <w:rFonts w:hint="eastAsia" w:ascii="仿宋_GB2312" w:hAnsi="宋体" w:eastAsia="仿宋_GB2312" w:cs="仿宋_GB2312"/>
          <w:color w:val="000000"/>
          <w:kern w:val="0"/>
          <w:sz w:val="32"/>
          <w:szCs w:val="32"/>
        </w:rPr>
        <w:t>课程资源研发团队人员结构合理，参与人员具有丰富的教学和网络课程建设经验。</w:t>
      </w:r>
    </w:p>
    <w:p>
      <w:pPr>
        <w:ind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3.课程选题</w:t>
      </w:r>
      <w:r>
        <w:rPr>
          <w:rFonts w:hint="eastAsia" w:ascii="仿宋_GB2312" w:hAnsi="宋体" w:eastAsia="仿宋_GB2312" w:cs="仿宋_GB2312"/>
          <w:color w:val="000000"/>
          <w:kern w:val="0"/>
          <w:sz w:val="32"/>
          <w:szCs w:val="32"/>
        </w:rPr>
        <w:t>。课程选题针对性要强，适用于成人网络自主学习。</w:t>
      </w:r>
      <w:r>
        <w:rPr>
          <w:rFonts w:hint="eastAsia" w:ascii="仿宋_GB2312" w:eastAsia="仿宋_GB2312" w:cs="仿宋_GB2312"/>
          <w:color w:val="000000"/>
          <w:sz w:val="32"/>
          <w:szCs w:val="32"/>
        </w:rPr>
        <w:t>实用技能培训课程要具适用性、完整性和时代性。微课、多媒体小课件等要主题突出、内容具体，尽量“小（微）而精”，</w:t>
      </w:r>
      <w:r>
        <w:rPr>
          <w:rFonts w:hint="eastAsia" w:ascii="仿宋_GB2312" w:hAnsi="宋体" w:eastAsia="仿宋_GB2312" w:cs="仿宋_GB2312"/>
          <w:color w:val="000000"/>
          <w:kern w:val="0"/>
          <w:sz w:val="32"/>
          <w:szCs w:val="32"/>
        </w:rPr>
        <w:t>能针对某个重要的知识点，而不是抽象、宽泛的面。</w:t>
      </w:r>
      <w:r>
        <w:rPr>
          <w:rFonts w:hint="eastAsia" w:ascii="仿宋_GB2312" w:eastAsia="仿宋_GB2312" w:cs="仿宋_GB2312"/>
          <w:color w:val="000000"/>
          <w:sz w:val="32"/>
          <w:szCs w:val="32"/>
        </w:rPr>
        <w:t>学历继续教育的网络课程资源不参与本次评选</w:t>
      </w:r>
    </w:p>
    <w:p>
      <w:pPr>
        <w:ind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4.课程内容</w:t>
      </w:r>
      <w:r>
        <w:rPr>
          <w:rFonts w:hint="eastAsia" w:ascii="仿宋_GB2312" w:hAnsi="宋体" w:eastAsia="仿宋_GB2312" w:cs="仿宋_GB2312"/>
          <w:color w:val="000000"/>
          <w:kern w:val="0"/>
          <w:sz w:val="32"/>
          <w:szCs w:val="32"/>
        </w:rPr>
        <w:t>。教学内容符合课程目标要求，内容完整，知识结构合理；知识点覆盖面达到课程定位要求；教学内容呈现方式符合成人学习者特征；内容组织编排合理，符合认知规律，过程主线清晰，重点突出，通俗易懂。</w:t>
      </w:r>
    </w:p>
    <w:p>
      <w:pPr>
        <w:ind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5.作品规范。</w:t>
      </w:r>
      <w:r>
        <w:rPr>
          <w:rFonts w:hint="eastAsia" w:ascii="仿宋_GB2312" w:hAnsi="宋体" w:eastAsia="仿宋_GB2312" w:cs="仿宋_GB2312"/>
          <w:color w:val="000000"/>
          <w:kern w:val="0"/>
          <w:sz w:val="32"/>
          <w:szCs w:val="32"/>
        </w:rPr>
        <w:t>课程视频资源时长一般为5-50分钟；视频图像清晰稳定、构图合理、声音清楚，主要教学环节有字幕提示等；作品可以以课堂录制、实操视频和动画等形式呈现；课程资源中应显示标题、作者、单位等信息。配音规范、声音洪亮、有节奏感，语言富有感染力 。</w:t>
      </w:r>
    </w:p>
    <w:p>
      <w:pPr>
        <w:ind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6.形式新颖</w:t>
      </w:r>
      <w:r>
        <w:rPr>
          <w:rFonts w:hint="eastAsia" w:ascii="仿宋_GB2312" w:hAnsi="宋体" w:eastAsia="仿宋_GB2312" w:cs="仿宋_GB2312"/>
          <w:color w:val="000000"/>
          <w:kern w:val="0"/>
          <w:sz w:val="32"/>
          <w:szCs w:val="32"/>
        </w:rPr>
        <w:t>。课程资源构思新颖，教学方法富有创意，制作方法与工具组合得当。趣味性强，教学过程深入浅出，形象生动，精彩有趣，启发引导性强，能提升学习积极性。</w:t>
      </w:r>
    </w:p>
    <w:p>
      <w:pPr>
        <w:ind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7.目标达成</w:t>
      </w:r>
      <w:r>
        <w:rPr>
          <w:rFonts w:hint="eastAsia" w:ascii="仿宋_GB2312" w:hAnsi="宋体" w:eastAsia="仿宋_GB2312" w:cs="仿宋_GB2312"/>
          <w:color w:val="000000"/>
          <w:kern w:val="0"/>
          <w:sz w:val="32"/>
          <w:szCs w:val="32"/>
        </w:rPr>
        <w:t>。能完成设定的教学目标，有效解决实际教学问题，促进学习者认知和思维的提升、能力的提高。</w:t>
      </w:r>
    </w:p>
    <w:p>
      <w:pPr>
        <w:ind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8.应用推广。</w:t>
      </w:r>
      <w:r>
        <w:rPr>
          <w:rFonts w:hint="eastAsia" w:ascii="仿宋_GB2312" w:hAnsi="宋体" w:eastAsia="仿宋_GB2312" w:cs="仿宋_GB2312"/>
          <w:color w:val="000000"/>
          <w:kern w:val="0"/>
          <w:sz w:val="32"/>
          <w:szCs w:val="32"/>
        </w:rPr>
        <w:t>课程具有应用推广价值，有良好应用效果预期，受到学习者的欢迎。</w:t>
      </w:r>
    </w:p>
    <w:p>
      <w:pPr>
        <w:rPr>
          <w:rFonts w:hint="eastAsia" w:ascii="黑体" w:hAnsi="宋体" w:eastAsia="黑体"/>
          <w:sz w:val="32"/>
          <w:szCs w:val="32"/>
        </w:rPr>
      </w:pPr>
      <w:r>
        <w:rPr>
          <w:rFonts w:ascii="黑体" w:hAnsi="宋体" w:eastAsia="黑体"/>
          <w:sz w:val="32"/>
          <w:szCs w:val="32"/>
        </w:rPr>
        <w:br w:type="page"/>
      </w:r>
      <w:r>
        <w:rPr>
          <w:rFonts w:hint="eastAsia" w:ascii="黑体" w:hAnsi="宋体" w:eastAsia="黑体"/>
          <w:sz w:val="32"/>
          <w:szCs w:val="32"/>
        </w:rPr>
        <w:t>附件2</w:t>
      </w:r>
    </w:p>
    <w:p>
      <w:pPr>
        <w:jc w:val="center"/>
        <w:rPr>
          <w:rFonts w:hint="eastAsia" w:ascii="方正小标宋简体" w:hAnsi="宋体" w:eastAsia="方正小标宋简体" w:cs="仿宋"/>
          <w:bCs/>
          <w:sz w:val="44"/>
          <w:szCs w:val="44"/>
        </w:rPr>
      </w:pPr>
      <w:r>
        <w:rPr>
          <w:rFonts w:hint="eastAsia" w:ascii="方正小标宋简体" w:hAnsi="宋体" w:eastAsia="方正小标宋简体" w:cs="仿宋"/>
          <w:bCs/>
          <w:sz w:val="44"/>
          <w:szCs w:val="44"/>
        </w:rPr>
        <w:t>福建省继续教育网络课程技术标准</w:t>
      </w:r>
    </w:p>
    <w:p>
      <w:pPr>
        <w:widowControl/>
        <w:ind w:firstLine="640" w:firstLineChars="200"/>
        <w:jc w:val="left"/>
        <w:rPr>
          <w:rFonts w:hint="eastAsia" w:ascii="黑体" w:hAnsi="宋体" w:eastAsia="黑体" w:cs="仿宋_GB2312"/>
          <w:color w:val="000000"/>
          <w:kern w:val="0"/>
          <w:sz w:val="32"/>
          <w:szCs w:val="32"/>
        </w:rPr>
      </w:pPr>
      <w:r>
        <w:rPr>
          <w:rFonts w:hint="eastAsia" w:ascii="黑体" w:hAnsi="宋体" w:eastAsia="黑体" w:cs="仿宋_GB2312"/>
          <w:color w:val="000000"/>
          <w:kern w:val="0"/>
          <w:sz w:val="32"/>
          <w:szCs w:val="32"/>
        </w:rPr>
        <w:t>一、普通课程技术标准</w:t>
      </w:r>
    </w:p>
    <w:p>
      <w:pPr>
        <w:ind w:firstLine="643" w:firstLineChars="200"/>
        <w:rPr>
          <w:rFonts w:hint="eastAsia" w:ascii="楷体_GB2312" w:hAnsi="宋体" w:eastAsia="楷体_GB2312" w:cs="仿宋"/>
          <w:b/>
          <w:sz w:val="32"/>
          <w:szCs w:val="32"/>
        </w:rPr>
      </w:pPr>
      <w:r>
        <w:rPr>
          <w:rFonts w:hint="eastAsia" w:ascii="楷体_GB2312" w:hAnsi="宋体" w:eastAsia="楷体_GB2312" w:cs="仿宋"/>
          <w:b/>
          <w:sz w:val="32"/>
          <w:szCs w:val="32"/>
        </w:rPr>
        <w:t>（一）录制要求</w:t>
      </w:r>
      <w:r>
        <w:rPr>
          <w:rFonts w:hint="eastAsia" w:ascii="宋体" w:hAnsi="宋体" w:eastAsia="楷体_GB2312" w:cs="仿宋"/>
          <w:b/>
          <w:sz w:val="32"/>
          <w:szCs w:val="32"/>
        </w:rPr>
        <w:t> </w:t>
      </w:r>
    </w:p>
    <w:p>
      <w:pPr>
        <w:pStyle w:val="7"/>
        <w:widowControl/>
        <w:spacing w:after="0" w:line="240" w:lineRule="auto"/>
        <w:ind w:firstLine="643"/>
        <w:rPr>
          <w:rFonts w:hint="eastAsia" w:ascii="仿宋_GB2312" w:hAnsi="宋体" w:eastAsia="仿宋_GB2312" w:cs="仿宋_GB2312"/>
          <w:color w:val="000000"/>
          <w:sz w:val="32"/>
          <w:szCs w:val="32"/>
        </w:rPr>
      </w:pPr>
      <w:r>
        <w:rPr>
          <w:rFonts w:hint="eastAsia" w:ascii="仿宋_GB2312" w:hAnsi="宋体" w:eastAsia="仿宋_GB2312" w:cs="仿宋_GB2312"/>
          <w:b/>
          <w:color w:val="000000"/>
          <w:sz w:val="32"/>
          <w:szCs w:val="32"/>
        </w:rPr>
        <w:t>1.课程时长。</w:t>
      </w:r>
      <w:r>
        <w:rPr>
          <w:rFonts w:hint="eastAsia" w:ascii="仿宋_GB2312" w:hAnsi="宋体" w:eastAsia="仿宋_GB2312" w:cs="仿宋_GB2312"/>
          <w:color w:val="000000"/>
          <w:sz w:val="32"/>
          <w:szCs w:val="32"/>
        </w:rPr>
        <w:t>每门普通网络课程总讲数应不少于5讲，每讲时长一般为30～50分钟。</w:t>
      </w:r>
      <w:r>
        <w:rPr>
          <w:rFonts w:hint="eastAsia" w:ascii="宋体" w:hAnsi="宋体" w:eastAsia="仿宋_GB2312" w:cs="仿宋_GB2312"/>
          <w:color w:val="000000"/>
          <w:sz w:val="32"/>
          <w:szCs w:val="32"/>
        </w:rPr>
        <w:t> </w:t>
      </w:r>
    </w:p>
    <w:p>
      <w:pPr>
        <w:pStyle w:val="7"/>
        <w:widowControl/>
        <w:spacing w:after="0" w:line="240" w:lineRule="auto"/>
        <w:ind w:firstLine="643"/>
        <w:rPr>
          <w:rFonts w:hint="eastAsia" w:ascii="仿宋_GB2312" w:hAnsi="宋体" w:eastAsia="仿宋_GB2312" w:cs="仿宋_GB2312"/>
          <w:color w:val="000000"/>
          <w:sz w:val="32"/>
          <w:szCs w:val="32"/>
        </w:rPr>
      </w:pPr>
      <w:r>
        <w:rPr>
          <w:rFonts w:hint="eastAsia" w:ascii="仿宋_GB2312" w:hAnsi="宋体" w:eastAsia="仿宋_GB2312" w:cs="仿宋_GB2312"/>
          <w:b/>
          <w:color w:val="000000"/>
          <w:sz w:val="32"/>
          <w:szCs w:val="32"/>
        </w:rPr>
        <w:t>2.录制场地。</w:t>
      </w:r>
      <w:r>
        <w:rPr>
          <w:rFonts w:hint="eastAsia" w:ascii="仿宋_GB2312" w:hAnsi="宋体" w:eastAsia="仿宋_GB2312" w:cs="仿宋_GB2312"/>
          <w:color w:val="000000"/>
          <w:sz w:val="32"/>
          <w:szCs w:val="32"/>
        </w:rPr>
        <w:t>录制场地应选择授课现场，可以是课堂、演播室或礼堂等场地，面积在50平方米以上。录制现场光线充足、环境安静、整洁，避免在镜头中出现有广告嫌疑或与课程无关的标识等内容。</w:t>
      </w:r>
      <w:r>
        <w:rPr>
          <w:rFonts w:hint="eastAsia" w:ascii="宋体" w:hAnsi="宋体" w:eastAsia="仿宋_GB2312" w:cs="仿宋_GB2312"/>
          <w:color w:val="000000"/>
          <w:sz w:val="32"/>
          <w:szCs w:val="32"/>
        </w:rPr>
        <w:t> </w:t>
      </w:r>
    </w:p>
    <w:p>
      <w:pPr>
        <w:pStyle w:val="7"/>
        <w:widowControl/>
        <w:spacing w:after="0" w:line="240" w:lineRule="auto"/>
        <w:ind w:firstLine="643"/>
        <w:rPr>
          <w:rFonts w:hint="eastAsia" w:ascii="仿宋_GB2312" w:hAnsi="宋体" w:eastAsia="仿宋_GB2312" w:cs="仿宋_GB2312"/>
          <w:color w:val="000000"/>
          <w:sz w:val="32"/>
          <w:szCs w:val="32"/>
        </w:rPr>
      </w:pPr>
      <w:r>
        <w:rPr>
          <w:rFonts w:hint="eastAsia" w:ascii="仿宋_GB2312" w:hAnsi="宋体" w:eastAsia="仿宋_GB2312" w:cs="仿宋_GB2312"/>
          <w:b/>
          <w:color w:val="000000"/>
          <w:sz w:val="32"/>
          <w:szCs w:val="32"/>
        </w:rPr>
        <w:t>3.课程形式。</w:t>
      </w:r>
      <w:r>
        <w:rPr>
          <w:rFonts w:hint="eastAsia" w:ascii="仿宋_GB2312" w:hAnsi="宋体" w:eastAsia="仿宋_GB2312" w:cs="仿宋_GB2312"/>
          <w:color w:val="000000"/>
          <w:sz w:val="32"/>
          <w:szCs w:val="32"/>
        </w:rPr>
        <w:t>成片统一采用单一视频形式。</w:t>
      </w:r>
      <w:r>
        <w:rPr>
          <w:rFonts w:hint="eastAsia" w:ascii="宋体" w:hAnsi="宋体" w:eastAsia="仿宋_GB2312" w:cs="仿宋_GB2312"/>
          <w:color w:val="000000"/>
          <w:sz w:val="32"/>
          <w:szCs w:val="32"/>
        </w:rPr>
        <w:t> </w:t>
      </w:r>
    </w:p>
    <w:p>
      <w:pPr>
        <w:pStyle w:val="7"/>
        <w:widowControl/>
        <w:spacing w:after="0" w:line="240" w:lineRule="auto"/>
        <w:ind w:firstLine="643"/>
        <w:rPr>
          <w:rFonts w:hint="eastAsia" w:ascii="仿宋_GB2312" w:hAnsi="宋体" w:eastAsia="仿宋_GB2312" w:cs="仿宋_GB2312"/>
          <w:b/>
          <w:color w:val="000000"/>
          <w:sz w:val="32"/>
          <w:szCs w:val="32"/>
        </w:rPr>
      </w:pPr>
      <w:r>
        <w:rPr>
          <w:rFonts w:hint="eastAsia" w:ascii="仿宋_GB2312" w:hAnsi="宋体" w:eastAsia="仿宋_GB2312" w:cs="仿宋_GB2312"/>
          <w:b/>
          <w:color w:val="000000"/>
          <w:sz w:val="32"/>
          <w:szCs w:val="32"/>
        </w:rPr>
        <w:t>4.录制方式及设备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（１）拍摄方式：根据课程内容，采用单机位或多机位拍摄，机位设置应满足完整记录课堂全部教学活动的要求。</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（２）录像设备：摄像机要求不低于专业级数字设备，在同一门课程中标清和高清设备不得混用，推荐使用高清数字设备。</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（３）录音设备：使用若干个专业级话筒，保证现场的录音质量。</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（４）后期制作设备：使用相应的非线性编辑系统。</w:t>
      </w:r>
      <w:r>
        <w:rPr>
          <w:rFonts w:hint="eastAsia" w:ascii="宋体" w:hAnsi="宋体" w:eastAsia="仿宋_GB2312" w:cs="仿宋_GB2312"/>
          <w:color w:val="000000"/>
          <w:sz w:val="32"/>
          <w:szCs w:val="32"/>
        </w:rPr>
        <w:t> </w:t>
      </w:r>
    </w:p>
    <w:p>
      <w:pPr>
        <w:pStyle w:val="7"/>
        <w:widowControl/>
        <w:spacing w:after="0" w:line="240" w:lineRule="auto"/>
        <w:ind w:firstLine="643"/>
        <w:rPr>
          <w:rFonts w:hint="eastAsia" w:ascii="仿宋_GB2312" w:hAnsi="宋体" w:eastAsia="仿宋_GB2312" w:cs="仿宋_GB2312"/>
          <w:b/>
          <w:color w:val="000000"/>
          <w:sz w:val="32"/>
          <w:szCs w:val="32"/>
        </w:rPr>
      </w:pPr>
      <w:r>
        <w:rPr>
          <w:rFonts w:hint="eastAsia" w:ascii="仿宋_GB2312" w:hAnsi="宋体" w:eastAsia="仿宋_GB2312" w:cs="仿宋_GB2312"/>
          <w:b/>
          <w:color w:val="000000"/>
          <w:sz w:val="32"/>
          <w:szCs w:val="32"/>
        </w:rPr>
        <w:t>5.多媒体课件的制作及录制</w:t>
      </w:r>
      <w:r>
        <w:rPr>
          <w:rFonts w:hint="eastAsia" w:ascii="宋体" w:hAnsi="宋体" w:eastAsia="仿宋_GB2312" w:cs="仿宋_GB2312"/>
          <w:b/>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（1）授课过程中使用的多媒体课件（PPT、音视频、动画等）认真检查，确保内容无误，排版格式规范，版面简洁清晰，</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（2）拍摄时应针对实际情况选择适当的拍摄方式，与后期制作统筹策划，确保成片中的多媒体演示及板书完整、清晰。</w:t>
      </w:r>
      <w:r>
        <w:rPr>
          <w:rFonts w:hint="eastAsia" w:ascii="宋体" w:hAnsi="宋体" w:eastAsia="仿宋_GB2312" w:cs="仿宋_GB2312"/>
          <w:color w:val="000000"/>
          <w:sz w:val="32"/>
          <w:szCs w:val="32"/>
        </w:rPr>
        <w:t> </w:t>
      </w:r>
    </w:p>
    <w:p>
      <w:pPr>
        <w:ind w:firstLine="643" w:firstLineChars="200"/>
        <w:rPr>
          <w:rFonts w:hint="eastAsia" w:ascii="楷体_GB2312" w:hAnsi="宋体" w:eastAsia="楷体_GB2312" w:cs="仿宋"/>
          <w:b/>
          <w:sz w:val="32"/>
          <w:szCs w:val="32"/>
        </w:rPr>
      </w:pPr>
      <w:r>
        <w:rPr>
          <w:rFonts w:hint="eastAsia" w:ascii="楷体_GB2312" w:hAnsi="宋体" w:eastAsia="楷体_GB2312" w:cs="仿宋"/>
          <w:b/>
          <w:sz w:val="32"/>
          <w:szCs w:val="32"/>
        </w:rPr>
        <w:t>（二）后期制作要求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片头不超过10秒，应包括:学校LOGO、课程名称、讲次、主讲教师姓名、专业技术职务、单位等信息。片尾包括版权单位、制作单位、录制时间等信息。</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技术指标:</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（1）视频信号源</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a.稳定性：全片图像同步性能稳定，无失步现象，CTL同步控制信号必须连续：图像无抖动跳跃，色彩无突变，编辑点处图像稳定。</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b.信噪比：图像信噪比不低于55dB，无明显杂波。</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c.色调：白平衡正确，无明显偏色，多机拍摄的镜头衔接处无明显色差。</w:t>
      </w:r>
      <w:r>
        <w:rPr>
          <w:rFonts w:hint="eastAsia" w:ascii="宋体" w:hAnsi="宋体" w:eastAsia="仿宋_GB2312" w:cs="仿宋_GB2312"/>
          <w:color w:val="000000"/>
          <w:sz w:val="32"/>
          <w:szCs w:val="32"/>
        </w:rPr>
        <w:t> </w:t>
      </w:r>
    </w:p>
    <w:p>
      <w:pPr>
        <w:pStyle w:val="7"/>
        <w:widowControl/>
        <w:spacing w:after="0" w:line="240" w:lineRule="auto"/>
        <w:ind w:firstLine="640"/>
        <w:jc w:val="both"/>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d.视频电平：视频全讯号幅度为1Ⅴp-p，最大不超过1.1Ⅴ</w:t>
      </w:r>
      <w:r>
        <w:rPr>
          <w:rFonts w:hint="eastAsia" w:ascii="宋体" w:hAnsi="宋体" w:eastAsia="仿宋_GB2312" w:cs="仿宋_GB2312"/>
          <w:color w:val="000000"/>
          <w:sz w:val="32"/>
          <w:szCs w:val="32"/>
        </w:rPr>
        <w:t> </w:t>
      </w:r>
      <w:r>
        <w:rPr>
          <w:rFonts w:hint="eastAsia" w:ascii="仿宋_GB2312" w:hAnsi="宋体" w:eastAsia="仿宋_GB2312" w:cs="仿宋_GB2312"/>
          <w:color w:val="000000"/>
          <w:sz w:val="32"/>
          <w:szCs w:val="32"/>
        </w:rPr>
        <w:t>p-p。其中，消隐电平为0V时，白电平幅度0.7Ⅴp-p，同步信号-0.3V，色同步信号幅度0.3Vp-p</w:t>
      </w:r>
      <w:r>
        <w:rPr>
          <w:rFonts w:hint="eastAsia" w:ascii="宋体" w:hAnsi="宋体" w:eastAsia="仿宋_GB2312" w:cs="仿宋_GB2312"/>
          <w:color w:val="000000"/>
          <w:sz w:val="32"/>
          <w:szCs w:val="32"/>
        </w:rPr>
        <w:t> </w:t>
      </w:r>
      <w:r>
        <w:rPr>
          <w:rFonts w:hint="eastAsia" w:ascii="仿宋_GB2312" w:hAnsi="宋体" w:eastAsia="仿宋_GB2312" w:cs="仿宋_GB2312"/>
          <w:color w:val="000000"/>
          <w:sz w:val="32"/>
          <w:szCs w:val="32"/>
        </w:rPr>
        <w:t>(以消隐线上下对称)，全片一致。</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（2）音频信号源</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a.声道：中文内容音频信号记录于第1声道，音乐、音效、同期声记录于第2声道，若有其他文字解说记录于第3声道（如录音设备无第3声道,则录于第2声道）。</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b.电平指标：-2db</w:t>
      </w:r>
      <w:r>
        <w:rPr>
          <w:rFonts w:hint="eastAsia" w:ascii="宋体" w:hAnsi="宋体" w:eastAsia="仿宋_GB2312" w:cs="仿宋_GB2312"/>
          <w:color w:val="000000"/>
          <w:sz w:val="32"/>
          <w:szCs w:val="32"/>
        </w:rPr>
        <w:t> </w:t>
      </w:r>
      <w:r>
        <w:rPr>
          <w:rFonts w:hint="eastAsia" w:ascii="仿宋_GB2312" w:hAnsi="宋体" w:eastAsia="仿宋_GB2312" w:cs="仿宋_GB2312"/>
          <w:color w:val="000000"/>
          <w:sz w:val="32"/>
          <w:szCs w:val="32"/>
        </w:rPr>
        <w:t>—</w:t>
      </w:r>
      <w:r>
        <w:rPr>
          <w:rFonts w:hint="eastAsia" w:ascii="宋体" w:hAnsi="宋体" w:eastAsia="仿宋_GB2312" w:cs="仿宋_GB2312"/>
          <w:color w:val="000000"/>
          <w:sz w:val="32"/>
          <w:szCs w:val="32"/>
        </w:rPr>
        <w:t> </w:t>
      </w:r>
      <w:r>
        <w:rPr>
          <w:rFonts w:hint="eastAsia" w:ascii="仿宋_GB2312" w:hAnsi="宋体" w:eastAsia="仿宋_GB2312" w:cs="仿宋_GB2312"/>
          <w:color w:val="000000"/>
          <w:sz w:val="32"/>
          <w:szCs w:val="32"/>
        </w:rPr>
        <w:t>-8db声音应无明显失真、放音过冲、过弱。</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c.音频信噪比不低于48db。</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d.声音和画面要求同步，无交流声或其他杂音等缺陷。</w:t>
      </w:r>
      <w:r>
        <w:rPr>
          <w:rFonts w:hint="eastAsia" w:ascii="宋体" w:hAnsi="宋体" w:eastAsia="仿宋_GB2312" w:cs="仿宋_GB2312"/>
          <w:color w:val="000000"/>
          <w:sz w:val="32"/>
          <w:szCs w:val="32"/>
        </w:rPr>
        <w:t> </w:t>
      </w:r>
      <w:r>
        <w:rPr>
          <w:rFonts w:hint="eastAsia" w:ascii="仿宋_GB2312" w:hAnsi="宋体" w:eastAsia="仿宋_GB2312" w:cs="仿宋_GB2312"/>
          <w:color w:val="000000"/>
          <w:sz w:val="32"/>
          <w:szCs w:val="32"/>
        </w:rPr>
        <w:t>（5）伴音清晰、饱满、圆润，无失真、噪声杂音干扰、音量忽大忽小现象。解说声与现场声无明显比例失调，解说声与背景音乐无明显比例失调。</w:t>
      </w:r>
      <w:r>
        <w:rPr>
          <w:rFonts w:hint="eastAsia" w:ascii="宋体" w:hAnsi="宋体" w:eastAsia="仿宋_GB2312" w:cs="仿宋_GB2312"/>
          <w:color w:val="000000"/>
          <w:sz w:val="32"/>
          <w:szCs w:val="32"/>
        </w:rPr>
        <w:t> </w:t>
      </w:r>
    </w:p>
    <w:p>
      <w:pPr>
        <w:ind w:firstLine="643" w:firstLineChars="200"/>
        <w:rPr>
          <w:rFonts w:hint="eastAsia" w:ascii="楷体_GB2312" w:hAnsi="宋体" w:eastAsia="楷体_GB2312" w:cs="仿宋"/>
          <w:b/>
          <w:sz w:val="32"/>
          <w:szCs w:val="32"/>
        </w:rPr>
      </w:pPr>
      <w:r>
        <w:rPr>
          <w:rFonts w:hint="eastAsia" w:ascii="楷体_GB2312" w:hAnsi="宋体" w:eastAsia="楷体_GB2312" w:cs="仿宋"/>
          <w:b/>
          <w:sz w:val="32"/>
          <w:szCs w:val="32"/>
        </w:rPr>
        <w:t>（三）视、音频交付文件 </w:t>
      </w:r>
    </w:p>
    <w:p>
      <w:pPr>
        <w:pStyle w:val="7"/>
        <w:widowControl/>
        <w:spacing w:after="0" w:line="240" w:lineRule="auto"/>
        <w:ind w:firstLine="643"/>
        <w:rPr>
          <w:rFonts w:hint="eastAsia" w:ascii="仿宋_GB2312" w:hAnsi="宋体" w:eastAsia="仿宋_GB2312" w:cs="仿宋_GB2312"/>
          <w:b/>
          <w:color w:val="000000"/>
          <w:sz w:val="32"/>
          <w:szCs w:val="32"/>
        </w:rPr>
      </w:pPr>
      <w:r>
        <w:rPr>
          <w:rFonts w:hint="eastAsia" w:ascii="仿宋_GB2312" w:hAnsi="宋体" w:eastAsia="仿宋_GB2312" w:cs="仿宋_GB2312"/>
          <w:b/>
          <w:color w:val="000000"/>
          <w:sz w:val="32"/>
          <w:szCs w:val="32"/>
        </w:rPr>
        <w:t>1.交付载体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（1）所有视频文件及相应的SRT唱词文件请刻录在CD-R或DVD+R光盘或U盘上，并对刻录光盘或U盘做封口处理。</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（2）每张CD-R、DVD+R光盘或U盘可以刻录多讲内容（每一讲内容包括视频文件及相应的SRT唱词文件），并在盘面上注明光盘中的内容清单（标记学校名称、课程名称、讲次及标题、主讲教师、时长等）。</w:t>
      </w:r>
      <w:r>
        <w:rPr>
          <w:rFonts w:hint="eastAsia" w:ascii="宋体" w:hAnsi="宋体" w:eastAsia="仿宋_GB2312" w:cs="仿宋_GB2312"/>
          <w:color w:val="000000"/>
          <w:sz w:val="32"/>
          <w:szCs w:val="32"/>
        </w:rPr>
        <w:t> </w:t>
      </w:r>
    </w:p>
    <w:p>
      <w:pPr>
        <w:pStyle w:val="7"/>
        <w:widowControl/>
        <w:spacing w:after="0" w:line="240" w:lineRule="auto"/>
        <w:ind w:firstLine="643"/>
        <w:rPr>
          <w:rFonts w:hint="eastAsia" w:ascii="仿宋_GB2312" w:hAnsi="宋体" w:eastAsia="仿宋_GB2312" w:cs="仿宋_GB2312"/>
          <w:b/>
          <w:color w:val="000000"/>
          <w:sz w:val="32"/>
          <w:szCs w:val="32"/>
        </w:rPr>
      </w:pPr>
      <w:r>
        <w:rPr>
          <w:rFonts w:hint="eastAsia" w:ascii="仿宋_GB2312" w:hAnsi="宋体" w:eastAsia="仿宋_GB2312" w:cs="仿宋_GB2312"/>
          <w:b/>
          <w:color w:val="000000"/>
          <w:sz w:val="32"/>
          <w:szCs w:val="32"/>
        </w:rPr>
        <w:t>2.视频压缩格式及技术参数</w:t>
      </w:r>
      <w:r>
        <w:rPr>
          <w:rFonts w:hint="eastAsia" w:ascii="宋体" w:hAnsi="宋体" w:eastAsia="仿宋_GB2312" w:cs="仿宋_GB2312"/>
          <w:b/>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（1）视频压缩采用H.264/AVC</w:t>
      </w:r>
      <w:r>
        <w:rPr>
          <w:rFonts w:hint="eastAsia" w:ascii="宋体" w:hAnsi="宋体" w:eastAsia="仿宋_GB2312" w:cs="仿宋_GB2312"/>
          <w:color w:val="000000"/>
          <w:sz w:val="32"/>
          <w:szCs w:val="32"/>
        </w:rPr>
        <w:t xml:space="preserve"> </w:t>
      </w:r>
      <w:r>
        <w:rPr>
          <w:rFonts w:hint="eastAsia" w:ascii="仿宋_GB2312" w:hAnsi="宋体" w:eastAsia="仿宋_GB2312" w:cs="仿宋_GB2312"/>
          <w:color w:val="000000"/>
          <w:sz w:val="32"/>
          <w:szCs w:val="32"/>
        </w:rPr>
        <w:t>(MPEG-4</w:t>
      </w:r>
      <w:r>
        <w:rPr>
          <w:rFonts w:hint="eastAsia" w:ascii="宋体" w:hAnsi="宋体" w:eastAsia="仿宋_GB2312" w:cs="仿宋_GB2312"/>
          <w:color w:val="000000"/>
          <w:sz w:val="32"/>
          <w:szCs w:val="32"/>
        </w:rPr>
        <w:t> </w:t>
      </w:r>
      <w:r>
        <w:rPr>
          <w:rFonts w:hint="eastAsia" w:ascii="仿宋_GB2312" w:hAnsi="宋体" w:eastAsia="仿宋_GB2312" w:cs="仿宋_GB2312"/>
          <w:color w:val="000000"/>
          <w:sz w:val="32"/>
          <w:szCs w:val="32"/>
        </w:rPr>
        <w:t>Part10)编码、使用二次编码、不包含字幕的MP4格式。</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（2）视频码流率：动态码流的最高码率不高于2500Kbps，最低码率不得低于1024Kbps。</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（3）视频分辨率：</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a.前期采用标清4:3拍摄时，请设定为720×576；</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b.前期采用高清16:9拍摄时，请设定为1280×720；</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c.在同一课程中，各讲的视频分辨率应统一，不得标清和高清混用。</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（4）视频画幅宽高比：</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a.分辨率设定为</w:t>
      </w:r>
      <w:r>
        <w:rPr>
          <w:rFonts w:hint="eastAsia" w:ascii="宋体" w:hAnsi="宋体" w:eastAsia="仿宋_GB2312" w:cs="仿宋_GB2312"/>
          <w:color w:val="000000"/>
          <w:sz w:val="32"/>
          <w:szCs w:val="32"/>
        </w:rPr>
        <w:t> </w:t>
      </w:r>
      <w:r>
        <w:rPr>
          <w:rFonts w:hint="eastAsia" w:ascii="仿宋_GB2312" w:hAnsi="宋体" w:eastAsia="仿宋_GB2312" w:cs="仿宋_GB2312"/>
          <w:color w:val="000000"/>
          <w:sz w:val="32"/>
          <w:szCs w:val="32"/>
        </w:rPr>
        <w:t>720×576的，请选定4:3；</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b.分辨率设定为</w:t>
      </w:r>
      <w:r>
        <w:rPr>
          <w:rFonts w:hint="eastAsia" w:ascii="宋体" w:hAnsi="宋体" w:eastAsia="仿宋_GB2312" w:cs="仿宋_GB2312"/>
          <w:color w:val="000000"/>
          <w:sz w:val="32"/>
          <w:szCs w:val="32"/>
        </w:rPr>
        <w:t> </w:t>
      </w:r>
      <w:r>
        <w:rPr>
          <w:rFonts w:hint="eastAsia" w:ascii="仿宋_GB2312" w:hAnsi="宋体" w:eastAsia="仿宋_GB2312" w:cs="仿宋_GB2312"/>
          <w:color w:val="000000"/>
          <w:sz w:val="32"/>
          <w:szCs w:val="32"/>
        </w:rPr>
        <w:t>1280×720的，请选定16:9；</w:t>
      </w:r>
      <w:r>
        <w:rPr>
          <w:rFonts w:hint="eastAsia" w:ascii="宋体" w:hAnsi="宋体" w:eastAsia="仿宋_GB2312" w:cs="仿宋_GB2312"/>
          <w:color w:val="000000"/>
          <w:sz w:val="32"/>
          <w:szCs w:val="32"/>
        </w:rPr>
        <w:t> </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c.在同一课程中，各讲应统一画幅的宽高比，不得混用。</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（5）视频帧率为25帧/秒。</w:t>
      </w:r>
    </w:p>
    <w:p>
      <w:pPr>
        <w:pStyle w:val="7"/>
        <w:widowControl/>
        <w:spacing w:after="0" w:line="240" w:lineRule="auto"/>
        <w:ind w:firstLine="640"/>
        <w:rPr>
          <w:rFonts w:hint="eastAsia" w:ascii="仿宋_GB2312" w:eastAsia="仿宋_GB2312"/>
          <w:sz w:val="32"/>
          <w:szCs w:val="32"/>
        </w:rPr>
      </w:pPr>
      <w:r>
        <w:rPr>
          <w:rFonts w:hint="eastAsia" w:ascii="仿宋_GB2312" w:hAnsi="宋体" w:eastAsia="仿宋_GB2312" w:cs="仿宋_GB2312"/>
          <w:color w:val="000000"/>
          <w:sz w:val="32"/>
          <w:szCs w:val="32"/>
        </w:rPr>
        <w:t>（6）扫描方式采用逐行扫描。</w:t>
      </w:r>
    </w:p>
    <w:p>
      <w:pPr>
        <w:widowControl/>
        <w:ind w:firstLine="640" w:firstLineChars="200"/>
        <w:jc w:val="left"/>
        <w:rPr>
          <w:rFonts w:hint="eastAsia" w:ascii="黑体" w:hAnsi="宋体" w:eastAsia="黑体" w:cs="仿宋_GB2312"/>
          <w:color w:val="000000"/>
          <w:kern w:val="0"/>
          <w:sz w:val="32"/>
          <w:szCs w:val="32"/>
        </w:rPr>
      </w:pPr>
      <w:r>
        <w:rPr>
          <w:rFonts w:hint="eastAsia" w:ascii="黑体" w:hAnsi="宋体" w:eastAsia="黑体" w:cs="仿宋_GB2312"/>
          <w:color w:val="000000"/>
          <w:kern w:val="0"/>
          <w:sz w:val="32"/>
          <w:szCs w:val="32"/>
        </w:rPr>
        <w:t>二、微课类资源技术标准</w:t>
      </w:r>
      <w:r>
        <w:rPr>
          <w:rFonts w:hint="eastAsia" w:ascii="黑体" w:hAnsi="宋体" w:eastAsia="黑体" w:cs="仿宋_GB2312"/>
          <w:color w:val="000000"/>
          <w:kern w:val="0"/>
          <w:sz w:val="32"/>
          <w:szCs w:val="32"/>
        </w:rPr>
        <w:tab/>
      </w:r>
    </w:p>
    <w:p>
      <w:pPr>
        <w:ind w:firstLine="643" w:firstLineChars="200"/>
        <w:rPr>
          <w:rFonts w:hint="eastAsia" w:ascii="楷体_GB2312" w:hAnsi="宋体" w:eastAsia="楷体_GB2312" w:cs="仿宋"/>
          <w:b/>
          <w:sz w:val="32"/>
          <w:szCs w:val="32"/>
        </w:rPr>
      </w:pPr>
      <w:r>
        <w:rPr>
          <w:rFonts w:hint="eastAsia" w:ascii="楷体_GB2312" w:hAnsi="宋体" w:eastAsia="楷体_GB2312" w:cs="仿宋"/>
          <w:b/>
          <w:sz w:val="32"/>
          <w:szCs w:val="32"/>
        </w:rPr>
        <w:t>（一）内容标准</w:t>
      </w:r>
    </w:p>
    <w:p>
      <w:pPr>
        <w:pStyle w:val="7"/>
        <w:widowControl/>
        <w:spacing w:after="0" w:line="240" w:lineRule="auto"/>
        <w:ind w:firstLine="640"/>
        <w:rPr>
          <w:rFonts w:hint="eastAsia" w:ascii="仿宋_GB2312" w:hAnsi="宋体" w:eastAsia="仿宋_GB2312" w:cs="宋体"/>
          <w:color w:val="000000"/>
          <w:sz w:val="32"/>
          <w:szCs w:val="32"/>
        </w:rPr>
      </w:pPr>
      <w:r>
        <w:rPr>
          <w:rFonts w:hint="eastAsia" w:ascii="仿宋_GB2312" w:hAnsi="宋体" w:eastAsia="仿宋_GB2312" w:cs="仿宋_GB2312"/>
          <w:color w:val="000000"/>
          <w:sz w:val="32"/>
          <w:szCs w:val="32"/>
        </w:rPr>
        <w:t>1.微课视频长度在5至8分钟，不超过10分钟。</w:t>
      </w:r>
    </w:p>
    <w:p>
      <w:pPr>
        <w:pStyle w:val="7"/>
        <w:widowControl/>
        <w:spacing w:after="0" w:line="240" w:lineRule="auto"/>
        <w:ind w:firstLine="640"/>
        <w:rPr>
          <w:rFonts w:hint="eastAsia" w:ascii="仿宋_GB2312" w:hAnsi="宋体" w:eastAsia="仿宋_GB2312" w:cs="宋体"/>
          <w:color w:val="000000"/>
          <w:sz w:val="32"/>
          <w:szCs w:val="32"/>
        </w:rPr>
      </w:pPr>
      <w:r>
        <w:rPr>
          <w:rFonts w:hint="eastAsia" w:ascii="仿宋_GB2312" w:hAnsi="宋体" w:eastAsia="仿宋_GB2312" w:cs="仿宋_GB2312"/>
          <w:color w:val="000000"/>
          <w:sz w:val="32"/>
          <w:szCs w:val="32"/>
        </w:rPr>
        <w:t>2.精心设计讲课脚本，讲解精炼、路径合理，重点突出。</w:t>
      </w:r>
    </w:p>
    <w:p>
      <w:pPr>
        <w:pStyle w:val="7"/>
        <w:widowControl/>
        <w:spacing w:after="0" w:line="240" w:lineRule="auto"/>
        <w:ind w:firstLine="640"/>
        <w:rPr>
          <w:rFonts w:hint="eastAsia" w:ascii="仿宋_GB2312" w:hAnsi="宋体" w:eastAsia="仿宋_GB2312" w:cs="宋体"/>
          <w:color w:val="000000"/>
          <w:sz w:val="32"/>
          <w:szCs w:val="32"/>
        </w:rPr>
      </w:pPr>
      <w:r>
        <w:rPr>
          <w:rFonts w:hint="eastAsia" w:ascii="仿宋_GB2312" w:hAnsi="宋体" w:eastAsia="仿宋_GB2312" w:cs="仿宋_GB2312"/>
          <w:color w:val="000000"/>
          <w:sz w:val="32"/>
          <w:szCs w:val="32"/>
        </w:rPr>
        <w:t>3.内容风趣、幽默、情境化，学习者沉浸感强。</w:t>
      </w:r>
    </w:p>
    <w:p>
      <w:pPr>
        <w:pStyle w:val="7"/>
        <w:widowControl/>
        <w:spacing w:after="0" w:line="240" w:lineRule="auto"/>
        <w:ind w:firstLine="640"/>
        <w:rPr>
          <w:rFonts w:hint="eastAsia" w:ascii="仿宋_GB2312" w:hAnsi="宋体" w:eastAsia="仿宋_GB2312" w:cs="宋体"/>
          <w:color w:val="000000"/>
          <w:sz w:val="32"/>
          <w:szCs w:val="32"/>
        </w:rPr>
      </w:pPr>
      <w:r>
        <w:rPr>
          <w:rFonts w:hint="eastAsia" w:ascii="仿宋_GB2312" w:hAnsi="宋体" w:eastAsia="仿宋_GB2312" w:cs="仿宋_GB2312"/>
          <w:color w:val="000000"/>
          <w:sz w:val="32"/>
          <w:szCs w:val="32"/>
        </w:rPr>
        <w:t>4.适当提问，引发思考，留白，关键点重点提示。</w:t>
      </w:r>
    </w:p>
    <w:p>
      <w:pPr>
        <w:pStyle w:val="7"/>
        <w:widowControl/>
        <w:spacing w:after="0" w:line="240" w:lineRule="auto"/>
        <w:ind w:firstLine="640"/>
        <w:rPr>
          <w:rFonts w:hint="eastAsia" w:ascii="仿宋_GB2312" w:hAnsi="宋体" w:eastAsia="仿宋_GB2312" w:cs="宋体"/>
          <w:color w:val="000000"/>
          <w:sz w:val="32"/>
          <w:szCs w:val="32"/>
        </w:rPr>
      </w:pPr>
      <w:r>
        <w:rPr>
          <w:rFonts w:hint="eastAsia" w:ascii="仿宋_GB2312" w:hAnsi="宋体" w:eastAsia="仿宋_GB2312" w:cs="仿宋_GB2312"/>
          <w:color w:val="000000"/>
          <w:sz w:val="32"/>
          <w:szCs w:val="32"/>
        </w:rPr>
        <w:t>5.尽量减少视频中的干扰因素。</w:t>
      </w:r>
    </w:p>
    <w:p>
      <w:pPr>
        <w:pStyle w:val="7"/>
        <w:widowControl/>
        <w:spacing w:after="0" w:line="240" w:lineRule="auto"/>
        <w:ind w:firstLine="640"/>
        <w:rPr>
          <w:rFonts w:hint="eastAsia" w:ascii="仿宋_GB2312" w:hAnsi="宋体" w:eastAsia="仿宋_GB2312" w:cs="仿宋_GB2312"/>
          <w:color w:val="000000"/>
          <w:kern w:val="2"/>
          <w:sz w:val="32"/>
          <w:szCs w:val="32"/>
        </w:rPr>
      </w:pPr>
      <w:r>
        <w:rPr>
          <w:rFonts w:hint="eastAsia" w:ascii="仿宋_GB2312" w:hAnsi="宋体" w:eastAsia="仿宋_GB2312" w:cs="仿宋_GB2312"/>
          <w:color w:val="000000"/>
          <w:sz w:val="32"/>
          <w:szCs w:val="32"/>
        </w:rPr>
        <w:t>6.同一门课程各讲内容之间要有整体性，容量和时间长短基本一致，技术参数统一。</w:t>
      </w:r>
    </w:p>
    <w:p>
      <w:pPr>
        <w:pStyle w:val="7"/>
        <w:widowControl/>
        <w:spacing w:after="0" w:line="240" w:lineRule="auto"/>
        <w:ind w:firstLine="640"/>
        <w:rPr>
          <w:rFonts w:hint="eastAsia" w:ascii="仿宋_GB2312" w:hAnsi="宋体" w:eastAsia="仿宋_GB2312" w:cs="宋体"/>
          <w:color w:val="000000"/>
          <w:sz w:val="32"/>
          <w:szCs w:val="32"/>
        </w:rPr>
      </w:pPr>
      <w:r>
        <w:rPr>
          <w:rFonts w:ascii="仿宋_GB2312" w:hAnsi="宋体" w:eastAsia="仿宋_GB2312" w:cs="仿宋_GB2312"/>
          <w:color w:val="000000"/>
          <w:kern w:val="2"/>
          <w:sz w:val="32"/>
          <w:szCs w:val="32"/>
        </w:rPr>
        <w:t>7.全拍摄制作的，课程资源不少于10讲；动漫制作内容占比低于70%的，课程资源不少于5讲；动漫制作内容占比高于70%的，课程资源不少于3讲。</w:t>
      </w:r>
    </w:p>
    <w:p>
      <w:pPr>
        <w:ind w:firstLine="643" w:firstLineChars="200"/>
        <w:rPr>
          <w:rFonts w:hint="eastAsia" w:ascii="楷体_GB2312" w:hAnsi="宋体" w:eastAsia="楷体_GB2312" w:cs="仿宋"/>
          <w:b/>
          <w:sz w:val="32"/>
          <w:szCs w:val="32"/>
        </w:rPr>
      </w:pPr>
      <w:r>
        <w:rPr>
          <w:rFonts w:hint="eastAsia" w:ascii="楷体_GB2312" w:hAnsi="宋体" w:eastAsia="楷体_GB2312" w:cs="仿宋"/>
          <w:b/>
          <w:sz w:val="32"/>
          <w:szCs w:val="32"/>
        </w:rPr>
        <w:t>（二）技术标准</w:t>
      </w:r>
    </w:p>
    <w:p>
      <w:pPr>
        <w:widowControl/>
        <w:ind w:firstLine="643" w:firstLineChars="200"/>
        <w:jc w:val="left"/>
        <w:rPr>
          <w:rFonts w:hint="eastAsia" w:ascii="仿宋_GB2312" w:hAnsi="宋体" w:eastAsia="仿宋_GB2312" w:cs="宋体"/>
          <w:b/>
          <w:color w:val="000000"/>
          <w:sz w:val="32"/>
          <w:szCs w:val="32"/>
        </w:rPr>
      </w:pPr>
      <w:r>
        <w:rPr>
          <w:rFonts w:hint="eastAsia" w:ascii="仿宋_GB2312" w:hAnsi="宋体" w:eastAsia="仿宋_GB2312" w:cs="仿宋_GB2312"/>
          <w:b/>
          <w:color w:val="000000"/>
          <w:sz w:val="32"/>
          <w:szCs w:val="32"/>
        </w:rPr>
        <w:t>1.视频资源总体要求</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（1）稳定性：全片图像同步性能稳定，无失步现象，CTL同步控制信号必须连续：图像无抖动跳跃，色彩无突变，编辑点处图像稳定。</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（2）信噪比：图像信噪比不低于55dB，无明显杂波。</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（3）色调：白平衡正确，无明显偏色，多机拍摄的镜头衔接处无明显色差。</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（4）视频电平：视频全讯号幅度为1Ⅴp-p，最大不超过1.1Ⅴp-p。其中，消隐电平为0V时，白电平幅度0.7Ⅴp-p，同步信号-0.3V，色同步信号幅度0.3V p-p (以消隐线上下对称)，全片一致。</w:t>
      </w:r>
    </w:p>
    <w:p>
      <w:pPr>
        <w:pStyle w:val="7"/>
        <w:widowControl/>
        <w:spacing w:after="0" w:line="240" w:lineRule="auto"/>
        <w:ind w:firstLine="643"/>
        <w:rPr>
          <w:rFonts w:hint="eastAsia" w:ascii="仿宋_GB2312" w:hAnsi="宋体" w:eastAsia="仿宋_GB2312" w:cs="仿宋_GB2312"/>
          <w:b/>
          <w:color w:val="000000"/>
          <w:sz w:val="32"/>
          <w:szCs w:val="32"/>
        </w:rPr>
      </w:pPr>
      <w:r>
        <w:rPr>
          <w:rFonts w:hint="eastAsia" w:ascii="仿宋_GB2312" w:hAnsi="宋体" w:eastAsia="仿宋_GB2312" w:cs="仿宋_GB2312"/>
          <w:b/>
          <w:color w:val="000000"/>
          <w:sz w:val="32"/>
          <w:szCs w:val="32"/>
        </w:rPr>
        <w:t>2.音频信号源总体要求</w:t>
      </w:r>
    </w:p>
    <w:p>
      <w:pPr>
        <w:pStyle w:val="7"/>
        <w:widowControl/>
        <w:spacing w:after="0" w:line="240" w:lineRule="auto"/>
        <w:ind w:firstLine="640"/>
        <w:rPr>
          <w:rFonts w:hint="eastAsia" w:ascii="仿宋_GB2312" w:hAnsi="宋体" w:eastAsia="仿宋_GB2312" w:cs="宋体"/>
          <w:b/>
          <w:color w:val="000000"/>
          <w:sz w:val="32"/>
          <w:szCs w:val="32"/>
        </w:rPr>
      </w:pPr>
      <w:r>
        <w:rPr>
          <w:rFonts w:hint="eastAsia" w:ascii="仿宋_GB2312" w:hAnsi="宋体" w:eastAsia="仿宋_GB2312" w:cs="仿宋_GB2312"/>
          <w:color w:val="000000"/>
          <w:sz w:val="32"/>
          <w:szCs w:val="32"/>
        </w:rPr>
        <w:t>（1）声道：中文内容音频信号记录于第1声道，音乐、音效、同期声记录于第2声道，若有其他文字解说记录于第3声道（如录音设备无第3声道,则录于第2声道）。</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（2）电平指标：-2db</w:t>
      </w:r>
      <w:r>
        <w:rPr>
          <w:rFonts w:hint="eastAsia" w:ascii="宋体" w:hAnsi="宋体" w:eastAsia="仿宋_GB2312" w:cs="仿宋_GB2312"/>
          <w:color w:val="000000"/>
          <w:kern w:val="0"/>
          <w:sz w:val="32"/>
          <w:szCs w:val="32"/>
        </w:rPr>
        <w:t> </w:t>
      </w:r>
      <w:r>
        <w:rPr>
          <w:rFonts w:hint="eastAsia" w:ascii="仿宋_GB2312" w:hAnsi="宋体" w:eastAsia="仿宋_GB2312" w:cs="仿宋_GB2312"/>
          <w:color w:val="000000"/>
          <w:kern w:val="0"/>
          <w:sz w:val="32"/>
          <w:szCs w:val="32"/>
        </w:rPr>
        <w:t>—</w:t>
      </w:r>
      <w:r>
        <w:rPr>
          <w:rFonts w:hint="eastAsia" w:ascii="宋体" w:hAnsi="宋体" w:eastAsia="仿宋_GB2312" w:cs="仿宋_GB2312"/>
          <w:color w:val="000000"/>
          <w:kern w:val="0"/>
          <w:sz w:val="32"/>
          <w:szCs w:val="32"/>
        </w:rPr>
        <w:t> </w:t>
      </w:r>
      <w:r>
        <w:rPr>
          <w:rFonts w:hint="eastAsia" w:ascii="仿宋_GB2312" w:hAnsi="宋体" w:eastAsia="仿宋_GB2312" w:cs="仿宋_GB2312"/>
          <w:color w:val="000000"/>
          <w:kern w:val="0"/>
          <w:sz w:val="32"/>
          <w:szCs w:val="32"/>
        </w:rPr>
        <w:t>-8db声音应无明显失真、放音过冲、过弱。</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（3）音频信噪比不低于48db。</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（4）声音和画面要求同步，无交流声或其他杂音等缺陷。</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（5）伴音清晰、饱满、圆润，无失真、噪声杂音干扰、音量忽大忽小现象。解说声与现场声无明显比例失调，解说声与背景音乐无明显比例失调。</w:t>
      </w:r>
    </w:p>
    <w:p>
      <w:pPr>
        <w:pStyle w:val="7"/>
        <w:widowControl/>
        <w:spacing w:after="0" w:line="240" w:lineRule="auto"/>
        <w:ind w:firstLine="640"/>
        <w:rPr>
          <w:rFonts w:hint="eastAsia" w:ascii="仿宋_GB2312" w:hAnsi="宋体" w:eastAsia="仿宋_GB2312" w:cs="仿宋_GB2312"/>
          <w:b/>
          <w:color w:val="000000"/>
          <w:sz w:val="32"/>
          <w:szCs w:val="32"/>
        </w:rPr>
      </w:pPr>
      <w:r>
        <w:rPr>
          <w:rFonts w:hint="eastAsia" w:ascii="仿宋_GB2312" w:hAnsi="宋体" w:eastAsia="仿宋_GB2312" w:cs="仿宋_GB2312"/>
          <w:color w:val="000000"/>
          <w:sz w:val="32"/>
          <w:szCs w:val="32"/>
        </w:rPr>
        <w:t xml:space="preserve"> </w:t>
      </w:r>
      <w:r>
        <w:rPr>
          <w:rFonts w:hint="eastAsia" w:ascii="仿宋_GB2312" w:hAnsi="宋体" w:eastAsia="仿宋_GB2312" w:cs="仿宋_GB2312"/>
          <w:b/>
          <w:color w:val="000000"/>
          <w:sz w:val="32"/>
          <w:szCs w:val="32"/>
        </w:rPr>
        <w:t>3.摄像部分技术标准</w:t>
      </w:r>
    </w:p>
    <w:p>
      <w:pPr>
        <w:pStyle w:val="7"/>
        <w:widowControl/>
        <w:spacing w:after="0" w:line="240" w:lineRule="auto"/>
        <w:ind w:firstLine="640"/>
        <w:rPr>
          <w:rFonts w:hint="eastAsia" w:ascii="仿宋_GB2312" w:hAnsi="宋体" w:eastAsia="仿宋_GB2312" w:cs="宋体"/>
          <w:color w:val="000000"/>
          <w:sz w:val="32"/>
          <w:szCs w:val="32"/>
        </w:rPr>
      </w:pPr>
      <w:r>
        <w:rPr>
          <w:rFonts w:hint="eastAsia" w:ascii="仿宋_GB2312" w:hAnsi="宋体" w:eastAsia="仿宋_GB2312" w:cs="仿宋_GB2312"/>
          <w:color w:val="000000"/>
          <w:sz w:val="32"/>
          <w:szCs w:val="32"/>
        </w:rPr>
        <w:t>（1）视频压缩采用H.264格式编码，视频格式为MP4及FLV格式。</w:t>
      </w:r>
    </w:p>
    <w:p>
      <w:pPr>
        <w:pStyle w:val="7"/>
        <w:widowControl/>
        <w:spacing w:after="0" w:line="240" w:lineRule="auto"/>
        <w:ind w:firstLine="640"/>
        <w:rPr>
          <w:rFonts w:hint="eastAsia" w:ascii="仿宋_GB2312" w:hAnsi="宋体" w:eastAsia="仿宋_GB2312" w:cs="宋体"/>
          <w:color w:val="000000"/>
          <w:sz w:val="32"/>
          <w:szCs w:val="32"/>
        </w:rPr>
      </w:pPr>
      <w:r>
        <w:rPr>
          <w:rFonts w:hint="eastAsia" w:ascii="仿宋_GB2312" w:hAnsi="宋体" w:eastAsia="仿宋_GB2312" w:cs="仿宋_GB2312"/>
          <w:color w:val="000000"/>
          <w:sz w:val="32"/>
          <w:szCs w:val="32"/>
        </w:rPr>
        <w:t>（2）视频码流率：动态码流的最高码率不高于2</w:t>
      </w: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00Kbps，最低码率不得低于1024Kbps。</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（3）视频质量要求图像稳定、对焦清晰、构图合理、镜头运用恰当。</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（4）视频分辨率：分辨率一般为设定为720*576、1280*720；</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（5）在同一课程中，各讲的视频分辨率应统一，不得标清和高清混用。</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（6）视频帧率为25帧/秒，扫描方式采用逐行扫描。</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（7）声音采用双声道，要求清晰、饱满、圆润，无失真、噪声杂音干扰、音量忽大忽小现象。解说声与背景音乐无明显比例失调。</w:t>
      </w:r>
    </w:p>
    <w:p>
      <w:pPr>
        <w:pStyle w:val="7"/>
        <w:widowControl/>
        <w:spacing w:after="0" w:line="240" w:lineRule="auto"/>
        <w:ind w:firstLine="643"/>
        <w:rPr>
          <w:rFonts w:hint="eastAsia" w:ascii="仿宋_GB2312" w:hAnsi="宋体" w:eastAsia="仿宋_GB2312" w:cs="宋体"/>
          <w:b/>
          <w:color w:val="000000"/>
          <w:sz w:val="32"/>
          <w:szCs w:val="32"/>
        </w:rPr>
      </w:pPr>
      <w:r>
        <w:rPr>
          <w:rFonts w:hint="eastAsia" w:ascii="仿宋_GB2312" w:hAnsi="宋体" w:eastAsia="仿宋_GB2312" w:cs="仿宋_GB2312"/>
          <w:b/>
          <w:color w:val="000000"/>
          <w:sz w:val="32"/>
          <w:szCs w:val="32"/>
        </w:rPr>
        <w:t>4.录屏部分技术要求</w:t>
      </w:r>
    </w:p>
    <w:p>
      <w:pPr>
        <w:pStyle w:val="7"/>
        <w:widowControl/>
        <w:spacing w:after="0" w:line="240" w:lineRule="auto"/>
        <w:ind w:firstLine="640"/>
        <w:rPr>
          <w:rFonts w:hint="eastAsia" w:ascii="仿宋_GB2312" w:hAnsi="宋体" w:eastAsia="仿宋_GB2312" w:cs="仿宋_GB2312"/>
          <w:color w:val="000000"/>
          <w:spacing w:val="-6"/>
          <w:sz w:val="32"/>
          <w:szCs w:val="32"/>
        </w:rPr>
      </w:pPr>
      <w:r>
        <w:rPr>
          <w:rFonts w:hint="eastAsia" w:ascii="仿宋_GB2312" w:hAnsi="宋体" w:eastAsia="仿宋_GB2312" w:cs="仿宋_GB2312"/>
          <w:color w:val="000000"/>
          <w:sz w:val="32"/>
          <w:szCs w:val="32"/>
        </w:rPr>
        <w:t>（1）录屏的分辨率一般采用1024*768或1280*720。请事先调整分辨</w:t>
      </w:r>
      <w:r>
        <w:rPr>
          <w:rFonts w:hint="eastAsia" w:ascii="仿宋_GB2312" w:hAnsi="宋体" w:eastAsia="仿宋_GB2312" w:cs="仿宋_GB2312"/>
          <w:color w:val="000000"/>
          <w:spacing w:val="-6"/>
          <w:sz w:val="32"/>
          <w:szCs w:val="32"/>
        </w:rPr>
        <w:t>率，不要高分辨率录制，低分辨率输出。同时，尽量不要出现特殊的分辨率。</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（2）如果要用视频混合制作，建议采用与视频分辨率最接近的分辨率，使得合成后效果最好。</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（3）录制PPT时，请将PPT事先调整为适合长宽比（1024*768录制时，用4:3；1280*720录制时，用</w:t>
      </w:r>
      <w:r>
        <w:rPr>
          <w:rFonts w:ascii="仿宋_GB2312" w:hAnsi="宋体" w:eastAsia="仿宋_GB2312" w:cs="仿宋_GB2312"/>
          <w:color w:val="000000"/>
          <w:sz w:val="32"/>
          <w:szCs w:val="32"/>
        </w:rPr>
        <w:t>16：9；</w:t>
      </w:r>
      <w:r>
        <w:rPr>
          <w:rFonts w:hint="eastAsia" w:ascii="仿宋_GB2312" w:hAnsi="宋体" w:eastAsia="仿宋_GB2312" w:cs="仿宋_GB2312"/>
          <w:color w:val="000000"/>
          <w:sz w:val="32"/>
          <w:szCs w:val="32"/>
        </w:rPr>
        <w:t>录制时不留黑边）。</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（4）声音采用双声道，要求清晰，无杂音，音量适中，解说声与背景音乐无明显比例失调。</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（5)录屏的输出最后转成MP4格式。</w:t>
      </w:r>
    </w:p>
    <w:p>
      <w:pPr>
        <w:pStyle w:val="7"/>
        <w:widowControl/>
        <w:spacing w:after="0" w:line="240" w:lineRule="auto"/>
        <w:ind w:firstLine="643"/>
        <w:rPr>
          <w:rFonts w:hint="eastAsia" w:ascii="仿宋_GB2312" w:hAnsi="宋体" w:eastAsia="仿宋_GB2312" w:cs="仿宋_GB2312"/>
          <w:b/>
          <w:color w:val="000000"/>
          <w:sz w:val="32"/>
          <w:szCs w:val="32"/>
        </w:rPr>
      </w:pPr>
      <w:r>
        <w:rPr>
          <w:rFonts w:hint="eastAsia" w:ascii="仿宋_GB2312" w:hAnsi="宋体" w:eastAsia="仿宋_GB2312" w:cs="仿宋_GB2312"/>
          <w:b/>
          <w:color w:val="000000"/>
          <w:sz w:val="32"/>
          <w:szCs w:val="32"/>
        </w:rPr>
        <w:t>5.后期技术</w:t>
      </w:r>
    </w:p>
    <w:p>
      <w:pPr>
        <w:pStyle w:val="7"/>
        <w:widowControl/>
        <w:spacing w:after="0" w:line="240" w:lineRule="auto"/>
        <w:ind w:firstLine="64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（1）片头不超过10秒，应包括:学校LOGO、课程名称、讲次、主讲教师姓名、专业技术职务、单位等信息。片尾包括版权单位、制作单位、录制时间等信息</w:t>
      </w:r>
    </w:p>
    <w:p>
      <w:pPr>
        <w:ind w:firstLine="640" w:firstLineChars="200"/>
        <w:rPr>
          <w:rFonts w:hint="eastAsia" w:ascii="仿宋_GB2312" w:hAnsi="宋体" w:eastAsia="仿宋_GB2312" w:cs="仿宋"/>
          <w:sz w:val="32"/>
          <w:szCs w:val="32"/>
        </w:rPr>
      </w:pPr>
      <w:r>
        <w:rPr>
          <w:rFonts w:hint="eastAsia" w:ascii="仿宋_GB2312" w:hAnsi="宋体" w:eastAsia="仿宋_GB2312" w:cs="仿宋_GB2312"/>
          <w:color w:val="000000"/>
          <w:sz w:val="32"/>
          <w:szCs w:val="32"/>
        </w:rPr>
        <w:t>（2）</w:t>
      </w:r>
      <w:r>
        <w:rPr>
          <w:rFonts w:hint="eastAsia" w:ascii="仿宋_GB2312" w:hAnsi="宋体" w:eastAsia="仿宋_GB2312" w:cs="仿宋"/>
          <w:sz w:val="32"/>
          <w:szCs w:val="32"/>
        </w:rPr>
        <w:t>所有视频文件及相应的SRT唱词文件请刻录在CD-R或DVD+R光盘或U盘上，并对材料做封口处理。</w:t>
      </w:r>
      <w:r>
        <w:rPr>
          <w:rFonts w:hint="eastAsia" w:ascii="宋体" w:hAnsi="宋体" w:eastAsia="仿宋_GB2312" w:cs="仿宋"/>
          <w:sz w:val="32"/>
          <w:szCs w:val="32"/>
        </w:rPr>
        <w:t> </w:t>
      </w:r>
    </w:p>
    <w:p>
      <w:pPr>
        <w:pStyle w:val="7"/>
        <w:widowControl/>
        <w:spacing w:after="0" w:line="240" w:lineRule="auto"/>
        <w:ind w:firstLine="640"/>
        <w:rPr>
          <w:rFonts w:hint="eastAsia" w:ascii="仿宋_GB2312" w:hAnsi="宋体" w:eastAsia="仿宋_GB2312" w:cs="仿宋"/>
          <w:sz w:val="32"/>
          <w:szCs w:val="32"/>
        </w:rPr>
      </w:pPr>
      <w:r>
        <w:rPr>
          <w:rFonts w:hint="eastAsia" w:ascii="仿宋_GB2312" w:hAnsi="宋体" w:eastAsia="仿宋_GB2312" w:cs="仿宋"/>
          <w:sz w:val="32"/>
          <w:szCs w:val="32"/>
        </w:rPr>
        <w:t>（3）每张CD-R、DVD+R光盘或U盘可以刻录多讲内容（每一讲内容包括视频文件及相应的SRT唱词文件），并在盘面上注明光盘中的内容清单（标记学校名称、课程名称、讲次及标题、主讲教师、时长等）</w:t>
      </w:r>
    </w:p>
    <w:p>
      <w:pPr>
        <w:pStyle w:val="7"/>
        <w:widowControl/>
        <w:spacing w:after="0" w:line="240" w:lineRule="auto"/>
        <w:ind w:firstLine="640"/>
        <w:rPr>
          <w:rFonts w:hint="eastAsia" w:ascii="黑体" w:hAnsi="宋体" w:eastAsia="黑体" w:cs="仿宋"/>
          <w:sz w:val="32"/>
          <w:szCs w:val="32"/>
        </w:rPr>
      </w:pPr>
      <w:r>
        <w:rPr>
          <w:rFonts w:hint="eastAsia" w:ascii="仿宋_GB2312" w:hAnsi="宋体" w:eastAsia="仿宋_GB2312" w:cs="仿宋"/>
          <w:sz w:val="32"/>
          <w:szCs w:val="32"/>
        </w:rPr>
        <w:t>（4）严格按照微课制作脚本进行制作。</w:t>
      </w:r>
      <w:r>
        <w:rPr>
          <w:rFonts w:hint="eastAsia" w:ascii="仿宋_GB2312" w:hAnsi="宋体" w:eastAsia="仿宋_GB2312" w:cs="仿宋"/>
          <w:sz w:val="32"/>
          <w:szCs w:val="32"/>
        </w:rPr>
        <w:br w:type="page"/>
      </w:r>
      <w:r>
        <w:rPr>
          <w:rFonts w:hint="eastAsia" w:ascii="黑体" w:hAnsi="宋体" w:eastAsia="黑体" w:cs="仿宋"/>
          <w:sz w:val="32"/>
          <w:szCs w:val="32"/>
        </w:rPr>
        <w:t>附件3</w:t>
      </w:r>
    </w:p>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福建省优秀继续教育网络课程申报表</w:t>
      </w:r>
    </w:p>
    <w:tbl>
      <w:tblPr>
        <w:tblStyle w:val="10"/>
        <w:tblW w:w="8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959"/>
        <w:gridCol w:w="851"/>
        <w:gridCol w:w="567"/>
        <w:gridCol w:w="2552"/>
        <w:gridCol w:w="129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43" w:type="dxa"/>
            <w:gridSpan w:val="3"/>
            <w:vAlign w:val="top"/>
          </w:tcPr>
          <w:p>
            <w:pPr>
              <w:spacing w:line="320" w:lineRule="exact"/>
              <w:jc w:val="center"/>
              <w:rPr>
                <w:rFonts w:ascii="宋体" w:hAnsi="宋体"/>
                <w:szCs w:val="21"/>
              </w:rPr>
            </w:pPr>
            <w:r>
              <w:rPr>
                <w:rFonts w:hint="eastAsia" w:ascii="宋体" w:hAnsi="宋体"/>
                <w:szCs w:val="21"/>
              </w:rPr>
              <w:t>申报单位</w:t>
            </w:r>
          </w:p>
        </w:tc>
        <w:tc>
          <w:tcPr>
            <w:tcW w:w="6545" w:type="dxa"/>
            <w:gridSpan w:val="4"/>
            <w:vAlign w:val="top"/>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43" w:type="dxa"/>
            <w:gridSpan w:val="3"/>
            <w:vAlign w:val="top"/>
          </w:tcPr>
          <w:p>
            <w:pPr>
              <w:spacing w:line="320" w:lineRule="exact"/>
              <w:jc w:val="center"/>
              <w:rPr>
                <w:rFonts w:ascii="宋体" w:hAnsi="宋体"/>
                <w:szCs w:val="21"/>
              </w:rPr>
            </w:pPr>
            <w:r>
              <w:rPr>
                <w:rFonts w:hint="eastAsia" w:ascii="宋体" w:hAnsi="宋体"/>
                <w:szCs w:val="21"/>
              </w:rPr>
              <w:t>地    址</w:t>
            </w:r>
          </w:p>
        </w:tc>
        <w:tc>
          <w:tcPr>
            <w:tcW w:w="6545" w:type="dxa"/>
            <w:gridSpan w:val="4"/>
            <w:vAlign w:val="top"/>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33" w:type="dxa"/>
            <w:tcBorders>
              <w:right w:val="nil"/>
            </w:tcBorders>
            <w:vAlign w:val="center"/>
          </w:tcPr>
          <w:p>
            <w:pPr>
              <w:spacing w:line="320" w:lineRule="exact"/>
              <w:jc w:val="left"/>
              <w:rPr>
                <w:rFonts w:ascii="宋体" w:hAnsi="宋体"/>
                <w:szCs w:val="21"/>
              </w:rPr>
            </w:pPr>
          </w:p>
        </w:tc>
        <w:tc>
          <w:tcPr>
            <w:tcW w:w="1810" w:type="dxa"/>
            <w:gridSpan w:val="2"/>
            <w:tcBorders>
              <w:left w:val="nil"/>
            </w:tcBorders>
            <w:vAlign w:val="center"/>
          </w:tcPr>
          <w:p>
            <w:pPr>
              <w:spacing w:line="320" w:lineRule="exact"/>
              <w:ind w:firstLine="105" w:firstLineChars="50"/>
              <w:rPr>
                <w:rFonts w:ascii="宋体" w:hAnsi="宋体"/>
                <w:szCs w:val="21"/>
              </w:rPr>
            </w:pPr>
            <w:r>
              <w:rPr>
                <w:rFonts w:hint="eastAsia" w:ascii="宋体" w:hAnsi="宋体"/>
                <w:szCs w:val="21"/>
              </w:rPr>
              <w:t>课程名称</w:t>
            </w:r>
          </w:p>
        </w:tc>
        <w:tc>
          <w:tcPr>
            <w:tcW w:w="6545" w:type="dxa"/>
            <w:gridSpan w:val="4"/>
            <w:vAlign w:val="top"/>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jc w:val="center"/>
        </w:trPr>
        <w:tc>
          <w:tcPr>
            <w:tcW w:w="333" w:type="dxa"/>
            <w:tcBorders>
              <w:right w:val="nil"/>
            </w:tcBorders>
            <w:vAlign w:val="center"/>
          </w:tcPr>
          <w:p>
            <w:pPr>
              <w:spacing w:line="320" w:lineRule="exact"/>
              <w:jc w:val="center"/>
              <w:rPr>
                <w:rFonts w:ascii="宋体" w:hAnsi="宋体"/>
                <w:szCs w:val="21"/>
              </w:rPr>
            </w:pPr>
          </w:p>
        </w:tc>
        <w:tc>
          <w:tcPr>
            <w:tcW w:w="1810" w:type="dxa"/>
            <w:gridSpan w:val="2"/>
            <w:tcBorders>
              <w:left w:val="nil"/>
            </w:tcBorders>
            <w:vAlign w:val="center"/>
          </w:tcPr>
          <w:p>
            <w:pPr>
              <w:spacing w:line="320" w:lineRule="exact"/>
              <w:ind w:firstLine="105" w:firstLineChars="50"/>
              <w:rPr>
                <w:rFonts w:ascii="宋体" w:hAnsi="宋体"/>
                <w:color w:val="000000"/>
                <w:szCs w:val="21"/>
              </w:rPr>
            </w:pPr>
            <w:r>
              <w:rPr>
                <w:rFonts w:hint="eastAsia" w:ascii="宋体" w:hAnsi="宋体"/>
                <w:color w:val="000000"/>
                <w:szCs w:val="21"/>
              </w:rPr>
              <w:t>课程类别</w:t>
            </w:r>
          </w:p>
        </w:tc>
        <w:tc>
          <w:tcPr>
            <w:tcW w:w="6545" w:type="dxa"/>
            <w:gridSpan w:val="4"/>
            <w:vAlign w:val="center"/>
          </w:tcPr>
          <w:p>
            <w:pPr>
              <w:spacing w:line="320" w:lineRule="exact"/>
              <w:jc w:val="lef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□职业培训</w:t>
            </w:r>
            <w:r>
              <w:rPr>
                <w:rFonts w:ascii="宋体" w:hAnsi="宋体"/>
                <w:color w:val="000000"/>
                <w:szCs w:val="21"/>
              </w:rPr>
              <w:t xml:space="preserve">  </w:t>
            </w:r>
            <w:r>
              <w:rPr>
                <w:rFonts w:hint="eastAsia" w:ascii="宋体" w:hAnsi="宋体"/>
                <w:color w:val="000000"/>
                <w:szCs w:val="21"/>
              </w:rPr>
              <w:t>□</w:t>
            </w:r>
            <w:r>
              <w:rPr>
                <w:rFonts w:hint="eastAsia" w:ascii="宋体" w:hAnsi="宋体"/>
                <w:szCs w:val="21"/>
              </w:rPr>
              <w:t>社区教育</w:t>
            </w:r>
            <w:r>
              <w:rPr>
                <w:rFonts w:ascii="宋体" w:hAnsi="宋体"/>
                <w:color w:val="000000"/>
                <w:szCs w:val="21"/>
              </w:rPr>
              <w:t xml:space="preserve">  </w:t>
            </w:r>
            <w:r>
              <w:rPr>
                <w:rFonts w:hint="eastAsia" w:ascii="宋体" w:hAnsi="宋体"/>
                <w:color w:val="000000"/>
                <w:szCs w:val="21"/>
              </w:rPr>
              <w:t>□老年教育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jc w:val="center"/>
        </w:trPr>
        <w:tc>
          <w:tcPr>
            <w:tcW w:w="333" w:type="dxa"/>
            <w:tcBorders>
              <w:right w:val="nil"/>
            </w:tcBorders>
            <w:vAlign w:val="center"/>
          </w:tcPr>
          <w:p>
            <w:pPr>
              <w:spacing w:line="320" w:lineRule="exact"/>
              <w:jc w:val="center"/>
              <w:rPr>
                <w:rFonts w:ascii="宋体" w:hAnsi="宋体"/>
                <w:szCs w:val="21"/>
              </w:rPr>
            </w:pPr>
          </w:p>
        </w:tc>
        <w:tc>
          <w:tcPr>
            <w:tcW w:w="1810" w:type="dxa"/>
            <w:gridSpan w:val="2"/>
            <w:tcBorders>
              <w:left w:val="nil"/>
            </w:tcBorders>
            <w:vAlign w:val="center"/>
          </w:tcPr>
          <w:p>
            <w:pPr>
              <w:spacing w:line="320" w:lineRule="exact"/>
              <w:ind w:firstLine="105" w:firstLineChars="50"/>
              <w:rPr>
                <w:rFonts w:ascii="宋体" w:hAnsi="宋体"/>
                <w:color w:val="000000"/>
                <w:szCs w:val="21"/>
              </w:rPr>
            </w:pPr>
            <w:r>
              <w:rPr>
                <w:rFonts w:hint="eastAsia" w:ascii="宋体" w:hAnsi="宋体"/>
                <w:color w:val="000000"/>
                <w:szCs w:val="21"/>
              </w:rPr>
              <w:t>课程类型</w:t>
            </w:r>
          </w:p>
        </w:tc>
        <w:tc>
          <w:tcPr>
            <w:tcW w:w="6545" w:type="dxa"/>
            <w:gridSpan w:val="4"/>
            <w:vAlign w:val="top"/>
          </w:tcPr>
          <w:p>
            <w:pPr>
              <w:spacing w:line="320" w:lineRule="exact"/>
              <w:ind w:firstLine="210" w:firstLineChars="100"/>
              <w:rPr>
                <w:rFonts w:ascii="宋体" w:hAnsi="宋体"/>
                <w:color w:val="000000"/>
                <w:szCs w:val="21"/>
              </w:rPr>
            </w:pPr>
            <w:r>
              <w:rPr>
                <w:rFonts w:hint="eastAsia" w:ascii="宋体" w:hAnsi="宋体"/>
                <w:color w:val="000000"/>
                <w:szCs w:val="21"/>
              </w:rPr>
              <w:t>□普通网络课程 □微课程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jc w:val="center"/>
        </w:trPr>
        <w:tc>
          <w:tcPr>
            <w:tcW w:w="333" w:type="dxa"/>
            <w:tcBorders>
              <w:right w:val="nil"/>
            </w:tcBorders>
            <w:vAlign w:val="center"/>
          </w:tcPr>
          <w:p>
            <w:pPr>
              <w:spacing w:line="320" w:lineRule="exact"/>
              <w:jc w:val="center"/>
              <w:rPr>
                <w:rFonts w:hint="eastAsia" w:ascii="宋体" w:hAnsi="宋体"/>
                <w:szCs w:val="21"/>
              </w:rPr>
            </w:pPr>
          </w:p>
        </w:tc>
        <w:tc>
          <w:tcPr>
            <w:tcW w:w="1810" w:type="dxa"/>
            <w:gridSpan w:val="2"/>
            <w:tcBorders>
              <w:left w:val="nil"/>
            </w:tcBorders>
            <w:vAlign w:val="center"/>
          </w:tcPr>
          <w:p>
            <w:pPr>
              <w:spacing w:line="320" w:lineRule="exact"/>
              <w:ind w:firstLine="105" w:firstLineChars="50"/>
              <w:rPr>
                <w:rFonts w:hint="eastAsia" w:ascii="宋体" w:hAnsi="宋体"/>
                <w:color w:val="000000"/>
                <w:szCs w:val="21"/>
              </w:rPr>
            </w:pPr>
            <w:r>
              <w:rPr>
                <w:rFonts w:hint="eastAsia" w:ascii="宋体" w:hAnsi="宋体"/>
                <w:color w:val="000000"/>
                <w:szCs w:val="21"/>
              </w:rPr>
              <w:t>制作形式</w:t>
            </w:r>
          </w:p>
        </w:tc>
        <w:tc>
          <w:tcPr>
            <w:tcW w:w="6545" w:type="dxa"/>
            <w:gridSpan w:val="4"/>
            <w:vAlign w:val="top"/>
          </w:tcPr>
          <w:p>
            <w:pPr>
              <w:spacing w:line="320" w:lineRule="exact"/>
              <w:rPr>
                <w:rFonts w:hint="eastAsia"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□视频录制   □动画  </w:t>
            </w:r>
            <w:r>
              <w:rPr>
                <w:rFonts w:ascii="宋体" w:hAnsi="宋体"/>
                <w:color w:val="000000"/>
                <w:szCs w:val="21"/>
              </w:rPr>
              <w:t xml:space="preserve"> </w:t>
            </w:r>
            <w:r>
              <w:rPr>
                <w:rFonts w:hint="eastAsia" w:ascii="宋体" w:hAnsi="宋体"/>
                <w:color w:val="000000"/>
                <w:szCs w:val="21"/>
              </w:rPr>
              <w:t>□FLash</w:t>
            </w:r>
            <w:r>
              <w:rPr>
                <w:rFonts w:ascii="宋体" w:hAnsi="宋体"/>
                <w:color w:val="000000"/>
                <w:szCs w:val="21"/>
              </w:rPr>
              <w:t xml:space="preserve"> </w:t>
            </w:r>
            <w:r>
              <w:rPr>
                <w:rFonts w:hint="eastAsia" w:ascii="宋体" w:hAnsi="宋体"/>
                <w:color w:val="000000"/>
                <w:szCs w:val="21"/>
              </w:rPr>
              <w:t xml:space="preserve"> □PPT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333" w:type="dxa"/>
            <w:vMerge w:val="restart"/>
            <w:tcBorders>
              <w:right w:val="nil"/>
            </w:tcBorders>
            <w:vAlign w:val="top"/>
          </w:tcPr>
          <w:p>
            <w:pPr>
              <w:spacing w:line="320" w:lineRule="exact"/>
              <w:jc w:val="center"/>
              <w:rPr>
                <w:rFonts w:ascii="宋体" w:hAnsi="宋体"/>
                <w:szCs w:val="21"/>
              </w:rPr>
            </w:pPr>
          </w:p>
        </w:tc>
        <w:tc>
          <w:tcPr>
            <w:tcW w:w="959" w:type="dxa"/>
            <w:vMerge w:val="restart"/>
            <w:tcBorders>
              <w:left w:val="nil"/>
            </w:tcBorders>
            <w:vAlign w:val="center"/>
          </w:tcPr>
          <w:p>
            <w:pPr>
              <w:spacing w:line="320" w:lineRule="exact"/>
              <w:jc w:val="left"/>
              <w:rPr>
                <w:rFonts w:ascii="宋体" w:hAnsi="宋体"/>
                <w:szCs w:val="21"/>
              </w:rPr>
            </w:pPr>
            <w:r>
              <w:rPr>
                <w:rFonts w:hint="eastAsia" w:ascii="宋体" w:hAnsi="宋体"/>
                <w:szCs w:val="21"/>
              </w:rPr>
              <w:t>课程负责  人</w:t>
            </w:r>
          </w:p>
        </w:tc>
        <w:tc>
          <w:tcPr>
            <w:tcW w:w="1418" w:type="dxa"/>
            <w:gridSpan w:val="2"/>
            <w:vAlign w:val="center"/>
          </w:tcPr>
          <w:p>
            <w:pPr>
              <w:spacing w:line="320" w:lineRule="exact"/>
              <w:jc w:val="center"/>
              <w:rPr>
                <w:rFonts w:ascii="宋体" w:hAnsi="宋体"/>
                <w:szCs w:val="21"/>
              </w:rPr>
            </w:pPr>
            <w:r>
              <w:rPr>
                <w:rFonts w:hint="eastAsia" w:ascii="宋体" w:hAnsi="宋体"/>
                <w:szCs w:val="21"/>
              </w:rPr>
              <w:t>姓  名</w:t>
            </w:r>
          </w:p>
        </w:tc>
        <w:tc>
          <w:tcPr>
            <w:tcW w:w="2552" w:type="dxa"/>
            <w:vAlign w:val="center"/>
          </w:tcPr>
          <w:p>
            <w:pPr>
              <w:spacing w:line="320" w:lineRule="exact"/>
              <w:jc w:val="center"/>
              <w:rPr>
                <w:rFonts w:ascii="宋体" w:hAnsi="宋体"/>
                <w:szCs w:val="21"/>
              </w:rPr>
            </w:pPr>
          </w:p>
        </w:tc>
        <w:tc>
          <w:tcPr>
            <w:tcW w:w="1295" w:type="dxa"/>
            <w:vAlign w:val="top"/>
          </w:tcPr>
          <w:p>
            <w:pPr>
              <w:spacing w:line="320" w:lineRule="exact"/>
              <w:jc w:val="center"/>
              <w:rPr>
                <w:rFonts w:ascii="宋体" w:hAns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c>
          <w:tcPr>
            <w:tcW w:w="2131" w:type="dxa"/>
            <w:vAlign w:val="top"/>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333" w:type="dxa"/>
            <w:vMerge w:val="continue"/>
            <w:tcBorders>
              <w:right w:val="nil"/>
            </w:tcBorders>
            <w:vAlign w:val="top"/>
          </w:tcPr>
          <w:p>
            <w:pPr>
              <w:spacing w:line="320" w:lineRule="exact"/>
              <w:jc w:val="center"/>
              <w:rPr>
                <w:rFonts w:ascii="宋体" w:hAnsi="宋体"/>
                <w:szCs w:val="21"/>
              </w:rPr>
            </w:pPr>
          </w:p>
        </w:tc>
        <w:tc>
          <w:tcPr>
            <w:tcW w:w="959" w:type="dxa"/>
            <w:vMerge w:val="continue"/>
            <w:tcBorders>
              <w:left w:val="nil"/>
            </w:tcBorders>
            <w:vAlign w:val="center"/>
          </w:tcPr>
          <w:p>
            <w:pPr>
              <w:spacing w:line="320" w:lineRule="exact"/>
              <w:jc w:val="center"/>
              <w:rPr>
                <w:rFonts w:ascii="宋体" w:hAnsi="宋体"/>
                <w:szCs w:val="21"/>
              </w:rPr>
            </w:pPr>
          </w:p>
        </w:tc>
        <w:tc>
          <w:tcPr>
            <w:tcW w:w="1418" w:type="dxa"/>
            <w:gridSpan w:val="2"/>
            <w:vAlign w:val="center"/>
          </w:tcPr>
          <w:p>
            <w:pPr>
              <w:spacing w:line="320" w:lineRule="exact"/>
              <w:jc w:val="center"/>
              <w:rPr>
                <w:rFonts w:ascii="宋体" w:hAnsi="宋体"/>
                <w:szCs w:val="21"/>
              </w:rPr>
            </w:pPr>
            <w:r>
              <w:rPr>
                <w:rFonts w:hint="eastAsia" w:ascii="宋体" w:hAnsi="宋体"/>
                <w:szCs w:val="21"/>
              </w:rPr>
              <w:t>专  业</w:t>
            </w:r>
          </w:p>
        </w:tc>
        <w:tc>
          <w:tcPr>
            <w:tcW w:w="2552" w:type="dxa"/>
            <w:vAlign w:val="center"/>
          </w:tcPr>
          <w:p>
            <w:pPr>
              <w:spacing w:line="320" w:lineRule="exact"/>
              <w:jc w:val="center"/>
              <w:rPr>
                <w:rFonts w:ascii="宋体" w:hAnsi="宋体"/>
                <w:szCs w:val="21"/>
              </w:rPr>
            </w:pPr>
          </w:p>
        </w:tc>
        <w:tc>
          <w:tcPr>
            <w:tcW w:w="1295" w:type="dxa"/>
            <w:vAlign w:val="top"/>
          </w:tcPr>
          <w:p>
            <w:pPr>
              <w:spacing w:line="320" w:lineRule="exact"/>
              <w:jc w:val="center"/>
              <w:rPr>
                <w:rFonts w:hint="eastAsia" w:ascii="宋体" w:hAnsi="宋体"/>
                <w:szCs w:val="21"/>
              </w:rPr>
            </w:pPr>
            <w:r>
              <w:rPr>
                <w:rFonts w:hint="eastAsia" w:ascii="宋体" w:hAnsi="宋体"/>
                <w:szCs w:val="21"/>
              </w:rPr>
              <w:t>研究方向</w:t>
            </w:r>
          </w:p>
        </w:tc>
        <w:tc>
          <w:tcPr>
            <w:tcW w:w="2131" w:type="dxa"/>
            <w:vAlign w:val="top"/>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333" w:type="dxa"/>
            <w:vMerge w:val="continue"/>
            <w:tcBorders>
              <w:right w:val="nil"/>
            </w:tcBorders>
            <w:vAlign w:val="top"/>
          </w:tcPr>
          <w:p>
            <w:pPr>
              <w:spacing w:line="320" w:lineRule="exact"/>
              <w:jc w:val="center"/>
              <w:rPr>
                <w:rFonts w:ascii="宋体" w:hAnsi="宋体"/>
                <w:szCs w:val="21"/>
              </w:rPr>
            </w:pPr>
          </w:p>
        </w:tc>
        <w:tc>
          <w:tcPr>
            <w:tcW w:w="959" w:type="dxa"/>
            <w:vMerge w:val="continue"/>
            <w:tcBorders>
              <w:left w:val="nil"/>
            </w:tcBorders>
            <w:vAlign w:val="center"/>
          </w:tcPr>
          <w:p>
            <w:pPr>
              <w:spacing w:line="320" w:lineRule="exact"/>
              <w:jc w:val="center"/>
              <w:rPr>
                <w:rFonts w:ascii="宋体" w:hAnsi="宋体"/>
                <w:szCs w:val="21"/>
              </w:rPr>
            </w:pPr>
          </w:p>
        </w:tc>
        <w:tc>
          <w:tcPr>
            <w:tcW w:w="1418" w:type="dxa"/>
            <w:gridSpan w:val="2"/>
            <w:vAlign w:val="center"/>
          </w:tcPr>
          <w:p>
            <w:pPr>
              <w:spacing w:line="320" w:lineRule="exact"/>
              <w:jc w:val="center"/>
              <w:rPr>
                <w:rFonts w:hint="eastAsia" w:ascii="宋体" w:hAnsi="宋体"/>
                <w:szCs w:val="21"/>
              </w:rPr>
            </w:pPr>
            <w:r>
              <w:rPr>
                <w:rFonts w:hint="eastAsia" w:ascii="宋体" w:hAnsi="宋体"/>
                <w:szCs w:val="21"/>
              </w:rPr>
              <w:t>联系电话</w:t>
            </w:r>
          </w:p>
        </w:tc>
        <w:tc>
          <w:tcPr>
            <w:tcW w:w="2552" w:type="dxa"/>
            <w:vAlign w:val="center"/>
          </w:tcPr>
          <w:p>
            <w:pPr>
              <w:spacing w:line="320" w:lineRule="exact"/>
              <w:jc w:val="center"/>
              <w:rPr>
                <w:rFonts w:ascii="宋体" w:hAnsi="宋体"/>
                <w:szCs w:val="21"/>
              </w:rPr>
            </w:pPr>
          </w:p>
        </w:tc>
        <w:tc>
          <w:tcPr>
            <w:tcW w:w="1295" w:type="dxa"/>
            <w:vAlign w:val="top"/>
          </w:tcPr>
          <w:p>
            <w:pPr>
              <w:spacing w:line="320" w:lineRule="exact"/>
              <w:jc w:val="center"/>
              <w:rPr>
                <w:rFonts w:hint="eastAsia" w:ascii="宋体" w:hAnsi="宋体"/>
                <w:szCs w:val="21"/>
              </w:rPr>
            </w:pPr>
            <w:r>
              <w:rPr>
                <w:rFonts w:hint="eastAsia" w:ascii="宋体" w:hAnsi="宋体"/>
                <w:szCs w:val="21"/>
              </w:rPr>
              <w:t>邮  箱</w:t>
            </w:r>
          </w:p>
        </w:tc>
        <w:tc>
          <w:tcPr>
            <w:tcW w:w="2131" w:type="dxa"/>
            <w:vAlign w:val="top"/>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7" w:hRule="exact"/>
          <w:jc w:val="center"/>
        </w:trPr>
        <w:tc>
          <w:tcPr>
            <w:tcW w:w="333" w:type="dxa"/>
            <w:tcBorders>
              <w:right w:val="nil"/>
            </w:tcBorders>
            <w:vAlign w:val="top"/>
          </w:tcPr>
          <w:p>
            <w:pPr>
              <w:spacing w:line="320" w:lineRule="exact"/>
              <w:jc w:val="center"/>
              <w:rPr>
                <w:rFonts w:ascii="宋体" w:hAnsi="宋体"/>
                <w:szCs w:val="21"/>
              </w:rPr>
            </w:pPr>
          </w:p>
        </w:tc>
        <w:tc>
          <w:tcPr>
            <w:tcW w:w="1810" w:type="dxa"/>
            <w:gridSpan w:val="2"/>
            <w:tcBorders>
              <w:left w:val="nil"/>
            </w:tcBorders>
            <w:vAlign w:val="center"/>
          </w:tcPr>
          <w:p>
            <w:pPr>
              <w:spacing w:line="320" w:lineRule="exact"/>
              <w:rPr>
                <w:rFonts w:ascii="宋体" w:hAnsi="宋体" w:cs="宋体"/>
                <w:color w:val="000000"/>
                <w:kern w:val="0"/>
                <w:szCs w:val="21"/>
              </w:rPr>
            </w:pPr>
            <w:r>
              <w:rPr>
                <w:rFonts w:hint="eastAsia" w:ascii="宋体" w:hAnsi="宋体" w:cs="宋体"/>
                <w:color w:val="000000"/>
                <w:kern w:val="0"/>
                <w:szCs w:val="21"/>
              </w:rPr>
              <w:t>开发团队</w:t>
            </w:r>
          </w:p>
        </w:tc>
        <w:tc>
          <w:tcPr>
            <w:tcW w:w="6545" w:type="dxa"/>
            <w:gridSpan w:val="4"/>
            <w:vAlign w:val="center"/>
          </w:tcPr>
          <w:p>
            <w:pPr>
              <w:spacing w:line="320" w:lineRule="exact"/>
              <w:jc w:val="left"/>
              <w:rPr>
                <w:rFonts w:hint="eastAsia" w:ascii="宋体" w:hAnsi="宋体" w:cs="宋体"/>
                <w:color w:val="000000"/>
                <w:kern w:val="0"/>
                <w:szCs w:val="21"/>
              </w:rPr>
            </w:pPr>
            <w:r>
              <w:rPr>
                <w:rFonts w:hint="eastAsia" w:ascii="宋体" w:hAnsi="宋体" w:cs="宋体"/>
                <w:color w:val="000000"/>
                <w:kern w:val="0"/>
                <w:szCs w:val="21"/>
              </w:rPr>
              <w:t>（团队人员姓名、职务/职称、项目成果等）</w:t>
            </w: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p>
            <w:pPr>
              <w:spacing w:line="32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jc w:val="center"/>
        </w:trPr>
        <w:tc>
          <w:tcPr>
            <w:tcW w:w="333" w:type="dxa"/>
            <w:tcBorders>
              <w:right w:val="nil"/>
            </w:tcBorders>
            <w:vAlign w:val="top"/>
          </w:tcPr>
          <w:p>
            <w:pPr>
              <w:spacing w:line="320" w:lineRule="exact"/>
              <w:rPr>
                <w:rFonts w:ascii="宋体" w:hAnsi="宋体"/>
                <w:szCs w:val="21"/>
              </w:rPr>
            </w:pPr>
          </w:p>
        </w:tc>
        <w:tc>
          <w:tcPr>
            <w:tcW w:w="1810" w:type="dxa"/>
            <w:gridSpan w:val="2"/>
            <w:tcBorders>
              <w:left w:val="nil"/>
            </w:tcBorders>
            <w:vAlign w:val="center"/>
          </w:tcPr>
          <w:p>
            <w:pPr>
              <w:spacing w:line="320" w:lineRule="exact"/>
              <w:jc w:val="left"/>
              <w:rPr>
                <w:rFonts w:hint="eastAsia" w:ascii="宋体" w:hAnsi="宋体" w:cs="宋体"/>
                <w:color w:val="000000"/>
                <w:kern w:val="0"/>
                <w:szCs w:val="21"/>
              </w:rPr>
            </w:pPr>
            <w:r>
              <w:rPr>
                <w:rFonts w:hint="eastAsia" w:ascii="宋体" w:hAnsi="宋体" w:cs="宋体"/>
                <w:color w:val="000000"/>
                <w:kern w:val="0"/>
                <w:szCs w:val="21"/>
              </w:rPr>
              <w:t>课程总体设计</w:t>
            </w:r>
          </w:p>
          <w:p>
            <w:pPr>
              <w:spacing w:line="320" w:lineRule="exact"/>
              <w:jc w:val="left"/>
              <w:rPr>
                <w:rFonts w:ascii="宋体" w:hAnsi="宋体"/>
                <w:szCs w:val="21"/>
              </w:rPr>
            </w:pPr>
            <w:r>
              <w:rPr>
                <w:rFonts w:hint="eastAsia" w:ascii="宋体" w:hAnsi="宋体" w:cs="宋体"/>
                <w:color w:val="000000"/>
                <w:kern w:val="0"/>
                <w:szCs w:val="21"/>
              </w:rPr>
              <w:t>（限500字内）</w:t>
            </w:r>
          </w:p>
        </w:tc>
        <w:tc>
          <w:tcPr>
            <w:tcW w:w="6545" w:type="dxa"/>
            <w:gridSpan w:val="4"/>
            <w:vAlign w:val="top"/>
          </w:tcPr>
          <w:p>
            <w:pPr>
              <w:spacing w:line="320" w:lineRule="exact"/>
              <w:rPr>
                <w:rFonts w:ascii="宋体" w:hAnsi="宋体"/>
                <w:szCs w:val="21"/>
              </w:rPr>
            </w:pPr>
            <w:r>
              <w:rPr>
                <w:rFonts w:hint="eastAsia" w:ascii="宋体" w:hAnsi="宋体"/>
                <w:szCs w:val="21"/>
              </w:rPr>
              <w:t>（开发目的、设计思路、课程内容、特色亮点、效果评价等）</w:t>
            </w: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jc w:val="center"/>
        </w:trPr>
        <w:tc>
          <w:tcPr>
            <w:tcW w:w="333" w:type="dxa"/>
            <w:tcBorders>
              <w:right w:val="nil"/>
            </w:tcBorders>
            <w:vAlign w:val="top"/>
          </w:tcPr>
          <w:p>
            <w:pPr>
              <w:spacing w:line="320" w:lineRule="exact"/>
              <w:rPr>
                <w:rFonts w:ascii="宋体" w:hAnsi="宋体"/>
                <w:szCs w:val="21"/>
              </w:rPr>
            </w:pPr>
          </w:p>
        </w:tc>
        <w:tc>
          <w:tcPr>
            <w:tcW w:w="1810" w:type="dxa"/>
            <w:gridSpan w:val="2"/>
            <w:tcBorders>
              <w:left w:val="nil"/>
            </w:tcBorders>
            <w:vAlign w:val="center"/>
          </w:tcPr>
          <w:p>
            <w:pPr>
              <w:spacing w:line="320" w:lineRule="exact"/>
              <w:jc w:val="left"/>
              <w:rPr>
                <w:rFonts w:hint="eastAsia" w:ascii="宋体" w:hAnsi="宋体" w:cs="宋体"/>
                <w:color w:val="000000"/>
                <w:kern w:val="0"/>
                <w:szCs w:val="21"/>
              </w:rPr>
            </w:pPr>
            <w:r>
              <w:rPr>
                <w:rFonts w:hint="eastAsia" w:ascii="宋体" w:hAnsi="宋体" w:cs="宋体"/>
                <w:color w:val="000000"/>
                <w:kern w:val="0"/>
                <w:szCs w:val="21"/>
              </w:rPr>
              <w:t>建设进度安排</w:t>
            </w:r>
          </w:p>
        </w:tc>
        <w:tc>
          <w:tcPr>
            <w:tcW w:w="6545" w:type="dxa"/>
            <w:gridSpan w:val="4"/>
            <w:vAlign w:val="top"/>
          </w:tcPr>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333" w:type="dxa"/>
            <w:tcBorders>
              <w:right w:val="nil"/>
            </w:tcBorders>
            <w:vAlign w:val="top"/>
          </w:tcPr>
          <w:p>
            <w:pPr>
              <w:spacing w:line="320" w:lineRule="exact"/>
              <w:rPr>
                <w:rFonts w:ascii="宋体" w:hAnsi="宋体"/>
                <w:szCs w:val="21"/>
              </w:rPr>
            </w:pPr>
          </w:p>
        </w:tc>
        <w:tc>
          <w:tcPr>
            <w:tcW w:w="1810" w:type="dxa"/>
            <w:gridSpan w:val="2"/>
            <w:tcBorders>
              <w:left w:val="nil"/>
            </w:tcBorders>
            <w:vAlign w:val="center"/>
          </w:tcPr>
          <w:p>
            <w:pPr>
              <w:spacing w:line="320" w:lineRule="exact"/>
              <w:jc w:val="left"/>
              <w:rPr>
                <w:rFonts w:hint="eastAsia" w:ascii="宋体" w:hAnsi="宋体" w:cs="宋体"/>
                <w:color w:val="000000"/>
                <w:kern w:val="0"/>
                <w:szCs w:val="21"/>
              </w:rPr>
            </w:pPr>
            <w:r>
              <w:rPr>
                <w:rFonts w:hint="eastAsia" w:ascii="宋体" w:hAnsi="宋体" w:cs="宋体"/>
                <w:color w:val="000000"/>
                <w:kern w:val="0"/>
                <w:szCs w:val="21"/>
              </w:rPr>
              <w:t>经费预算</w:t>
            </w:r>
          </w:p>
        </w:tc>
        <w:tc>
          <w:tcPr>
            <w:tcW w:w="6545" w:type="dxa"/>
            <w:gridSpan w:val="4"/>
            <w:vAlign w:val="top"/>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8" w:type="dxa"/>
            <w:gridSpan w:val="7"/>
            <w:tcBorders>
              <w:bottom w:val="nil"/>
            </w:tcBorders>
            <w:vAlign w:val="top"/>
          </w:tcPr>
          <w:p>
            <w:pPr>
              <w:spacing w:line="320" w:lineRule="exact"/>
              <w:jc w:val="left"/>
              <w:rPr>
                <w:rFonts w:ascii="宋体" w:hAnsi="宋体"/>
                <w:szCs w:val="21"/>
              </w:rPr>
            </w:pPr>
            <w:r>
              <w:rPr>
                <w:rFonts w:hint="eastAsia" w:ascii="宋体" w:hAnsi="宋体"/>
                <w:szCs w:val="21"/>
              </w:rPr>
              <w:t>申请单位意见：</w:t>
            </w:r>
          </w:p>
          <w:p>
            <w:pPr>
              <w:spacing w:line="32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8" w:type="dxa"/>
            <w:gridSpan w:val="7"/>
            <w:tcBorders>
              <w:top w:val="nil"/>
              <w:bottom w:val="nil"/>
            </w:tcBorders>
            <w:vAlign w:val="top"/>
          </w:tcPr>
          <w:p>
            <w:pPr>
              <w:spacing w:line="320" w:lineRule="exact"/>
              <w:ind w:firstLine="4200" w:firstLineChars="2000"/>
              <w:rPr>
                <w:rFonts w:ascii="宋体" w:hAnsi="宋体"/>
                <w:szCs w:val="21"/>
              </w:rPr>
            </w:pPr>
            <w:r>
              <w:rPr>
                <w:rFonts w:hint="eastAsia" w:ascii="宋体" w:hAnsi="宋体"/>
                <w:szCs w:val="21"/>
              </w:rPr>
              <w:t>盖章：</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688" w:type="dxa"/>
            <w:gridSpan w:val="7"/>
            <w:tcBorders>
              <w:top w:val="nil"/>
            </w:tcBorders>
            <w:vAlign w:val="top"/>
          </w:tcPr>
          <w:p>
            <w:pPr>
              <w:spacing w:line="320" w:lineRule="exact"/>
              <w:ind w:firstLine="4265" w:firstLineChars="2031"/>
              <w:rPr>
                <w:rFonts w:ascii="宋体" w:hAnsi="宋体"/>
                <w:szCs w:val="21"/>
              </w:rPr>
            </w:pPr>
            <w:r>
              <w:rPr>
                <w:rFonts w:hint="eastAsia" w:ascii="宋体" w:hAnsi="宋体"/>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8688" w:type="dxa"/>
            <w:gridSpan w:val="7"/>
            <w:tcBorders>
              <w:top w:val="nil"/>
              <w:bottom w:val="single" w:color="auto" w:sz="4" w:space="0"/>
            </w:tcBorders>
            <w:vAlign w:val="top"/>
          </w:tcPr>
          <w:p>
            <w:pPr>
              <w:spacing w:line="320" w:lineRule="exact"/>
              <w:rPr>
                <w:rFonts w:ascii="宋体" w:hAnsi="宋体"/>
                <w:szCs w:val="21"/>
              </w:rPr>
            </w:pPr>
            <w:r>
              <w:rPr>
                <w:rFonts w:hint="eastAsia" w:ascii="宋体" w:hAnsi="宋体"/>
                <w:szCs w:val="21"/>
              </w:rPr>
              <w:t>专家组评审意见：</w:t>
            </w:r>
          </w:p>
          <w:p>
            <w:pPr>
              <w:spacing w:line="320" w:lineRule="exact"/>
              <w:ind w:firstLine="3845" w:firstLineChars="1831"/>
              <w:rPr>
                <w:rFonts w:ascii="宋体" w:hAnsi="宋体"/>
                <w:szCs w:val="21"/>
              </w:rPr>
            </w:pPr>
            <w:r>
              <w:rPr>
                <w:rFonts w:hint="eastAsia" w:ascii="宋体" w:hAnsi="宋体"/>
                <w:szCs w:val="21"/>
              </w:rPr>
              <w:t xml:space="preserve">                           </w:t>
            </w:r>
          </w:p>
          <w:p>
            <w:pPr>
              <w:spacing w:line="320" w:lineRule="exact"/>
              <w:ind w:firstLine="3845" w:firstLineChars="1831"/>
              <w:rPr>
                <w:rFonts w:ascii="宋体" w:hAnsi="宋体"/>
                <w:szCs w:val="21"/>
              </w:rPr>
            </w:pPr>
            <w:r>
              <w:rPr>
                <w:rFonts w:hint="eastAsia" w:ascii="宋体" w:hAnsi="宋体"/>
                <w:szCs w:val="21"/>
              </w:rPr>
              <w:t xml:space="preserve"> </w:t>
            </w:r>
          </w:p>
          <w:p>
            <w:pPr>
              <w:spacing w:line="320" w:lineRule="exact"/>
              <w:ind w:firstLine="4265" w:firstLineChars="2031"/>
              <w:rPr>
                <w:rFonts w:ascii="宋体" w:hAnsi="宋体"/>
                <w:szCs w:val="21"/>
              </w:rPr>
            </w:pPr>
            <w:r>
              <w:rPr>
                <w:rFonts w:hint="eastAsia" w:ascii="宋体" w:hAnsi="宋体"/>
                <w:szCs w:val="21"/>
              </w:rPr>
              <w:t>专家组组长（签名）：</w:t>
            </w:r>
          </w:p>
          <w:p>
            <w:pPr>
              <w:spacing w:line="320" w:lineRule="exact"/>
              <w:ind w:firstLine="4265" w:firstLineChars="2031"/>
              <w:rPr>
                <w:rFonts w:ascii="宋体" w:hAnsi="宋体"/>
                <w:szCs w:val="21"/>
              </w:rPr>
            </w:pPr>
            <w:r>
              <w:rPr>
                <w:rFonts w:hint="eastAsia" w:ascii="宋体" w:hAnsi="宋体"/>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688" w:type="dxa"/>
            <w:gridSpan w:val="7"/>
            <w:tcBorders>
              <w:top w:val="single" w:color="auto" w:sz="4" w:space="0"/>
              <w:left w:val="nil"/>
              <w:bottom w:val="nil"/>
              <w:right w:val="nil"/>
            </w:tcBorders>
            <w:vAlign w:val="top"/>
          </w:tcPr>
          <w:p>
            <w:pPr>
              <w:spacing w:line="320" w:lineRule="exact"/>
              <w:rPr>
                <w:rFonts w:hint="eastAsia" w:ascii="宋体" w:hAnsi="宋体"/>
                <w:szCs w:val="21"/>
              </w:rPr>
            </w:pPr>
            <w:r>
              <w:rPr>
                <w:rFonts w:hint="eastAsia" w:ascii="宋体" w:hAnsi="宋体"/>
                <w:szCs w:val="21"/>
              </w:rPr>
              <w:t>注：此申报表请使用A4纸，双面印。字体为楷体_GB2312，字号为五号，行距为固定值16磅。</w:t>
            </w:r>
          </w:p>
        </w:tc>
      </w:tr>
    </w:tbl>
    <w:p>
      <w:pPr>
        <w:spacing w:line="480" w:lineRule="exact"/>
        <w:rPr>
          <w:rFonts w:ascii="黑体" w:hAnsi="宋体" w:eastAsia="黑体"/>
          <w:sz w:val="32"/>
          <w:szCs w:val="32"/>
        </w:rPr>
      </w:pPr>
    </w:p>
    <w:p>
      <w:pPr>
        <w:spacing w:line="480" w:lineRule="exact"/>
        <w:rPr>
          <w:rFonts w:hint="eastAsia" w:ascii="黑体" w:hAnsi="宋体" w:eastAsia="黑体"/>
          <w:sz w:val="32"/>
          <w:szCs w:val="32"/>
        </w:rPr>
      </w:pPr>
      <w:r>
        <w:rPr>
          <w:rFonts w:ascii="黑体" w:hAnsi="宋体" w:eastAsia="黑体"/>
          <w:sz w:val="32"/>
          <w:szCs w:val="32"/>
        </w:rPr>
        <w:br w:type="page"/>
      </w:r>
      <w:r>
        <w:rPr>
          <w:rFonts w:hint="eastAsia" w:ascii="黑体" w:hAnsi="宋体" w:eastAsia="黑体"/>
          <w:sz w:val="32"/>
          <w:szCs w:val="32"/>
        </w:rPr>
        <w:t>附件4</w:t>
      </w:r>
    </w:p>
    <w:p>
      <w:pPr>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福建省优秀继续教育网络课程汇总表</w:t>
      </w:r>
    </w:p>
    <w:p>
      <w:pPr>
        <w:spacing w:line="480" w:lineRule="exact"/>
        <w:rPr>
          <w:rFonts w:ascii="宋体" w:hAnsi="宋体" w:cs="宋体"/>
          <w:b/>
          <w:color w:val="000000"/>
          <w:kern w:val="0"/>
          <w:sz w:val="32"/>
          <w:szCs w:val="32"/>
        </w:rPr>
      </w:pPr>
    </w:p>
    <w:p>
      <w:pPr>
        <w:autoSpaceDE w:val="0"/>
        <w:autoSpaceDN w:val="0"/>
        <w:adjustRightInd w:val="0"/>
        <w:rPr>
          <w:rFonts w:ascii="宋体" w:hAnsi="宋体"/>
          <w:szCs w:val="21"/>
        </w:rPr>
      </w:pPr>
      <w:r>
        <w:rPr>
          <w:rFonts w:hint="eastAsia" w:ascii="宋体" w:hAnsi="宋体"/>
          <w:szCs w:val="21"/>
        </w:rPr>
        <w:t>单位（学校）盖章：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填表日期：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bl>
      <w:tblPr>
        <w:tblStyle w:val="10"/>
        <w:tblW w:w="8890" w:type="dxa"/>
        <w:jc w:val="center"/>
        <w:tblInd w:w="0" w:type="dxa"/>
        <w:tblLayout w:type="fixed"/>
        <w:tblCellMar>
          <w:top w:w="0" w:type="dxa"/>
          <w:left w:w="108" w:type="dxa"/>
          <w:bottom w:w="0" w:type="dxa"/>
          <w:right w:w="108" w:type="dxa"/>
        </w:tblCellMar>
      </w:tblPr>
      <w:tblGrid>
        <w:gridCol w:w="774"/>
        <w:gridCol w:w="1822"/>
        <w:gridCol w:w="1152"/>
        <w:gridCol w:w="2185"/>
        <w:gridCol w:w="1447"/>
        <w:gridCol w:w="1510"/>
      </w:tblGrid>
      <w:tr>
        <w:tblPrEx>
          <w:tblLayout w:type="fixed"/>
          <w:tblCellMar>
            <w:top w:w="0" w:type="dxa"/>
            <w:left w:w="108" w:type="dxa"/>
            <w:bottom w:w="0" w:type="dxa"/>
            <w:right w:w="108" w:type="dxa"/>
          </w:tblCellMar>
        </w:tblPrEx>
        <w:trPr>
          <w:trHeight w:val="887"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课程名称</w:t>
            </w: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课程</w:t>
            </w:r>
          </w:p>
          <w:p>
            <w:pPr>
              <w:autoSpaceDE w:val="0"/>
              <w:autoSpaceDN w:val="0"/>
              <w:adjustRightInd w:val="0"/>
              <w:snapToGrid w:val="0"/>
              <w:jc w:val="center"/>
              <w:rPr>
                <w:rFonts w:ascii="宋体" w:hAnsi="宋体"/>
                <w:b/>
                <w:szCs w:val="21"/>
              </w:rPr>
            </w:pPr>
            <w:r>
              <w:rPr>
                <w:rFonts w:hint="eastAsia" w:ascii="宋体" w:hAnsi="宋体"/>
                <w:b/>
                <w:szCs w:val="21"/>
              </w:rPr>
              <w:t>负责人</w:t>
            </w: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主要成员</w:t>
            </w: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课程类别</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课程类型</w:t>
            </w: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r>
        <w:tblPrEx>
          <w:tblLayout w:type="fixed"/>
          <w:tblCellMar>
            <w:top w:w="0" w:type="dxa"/>
            <w:left w:w="108" w:type="dxa"/>
            <w:bottom w:w="0" w:type="dxa"/>
            <w:right w:w="108" w:type="dxa"/>
          </w:tblCellMar>
        </w:tblPrEx>
        <w:trPr>
          <w:trHeight w:val="681" w:hRule="atLeast"/>
          <w:jc w:val="center"/>
        </w:trPr>
        <w:tc>
          <w:tcPr>
            <w:tcW w:w="7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jc w:val="center"/>
              <w:rPr>
                <w:rFonts w:ascii="宋体" w:hAnsi="宋体"/>
                <w:szCs w:val="21"/>
              </w:rPr>
            </w:pPr>
          </w:p>
        </w:tc>
        <w:tc>
          <w:tcPr>
            <w:tcW w:w="1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1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2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c>
          <w:tcPr>
            <w:tcW w:w="14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800" w:lineRule="exact"/>
              <w:ind w:firstLine="480"/>
              <w:rPr>
                <w:rFonts w:ascii="宋体" w:hAnsi="宋体"/>
                <w:szCs w:val="21"/>
              </w:rPr>
            </w:pPr>
          </w:p>
        </w:tc>
        <w:tc>
          <w:tcPr>
            <w:tcW w:w="15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800" w:lineRule="exact"/>
              <w:ind w:firstLine="480"/>
              <w:rPr>
                <w:rFonts w:ascii="宋体" w:hAnsi="宋体"/>
                <w:szCs w:val="21"/>
              </w:rPr>
            </w:pPr>
          </w:p>
        </w:tc>
      </w:tr>
    </w:tbl>
    <w:p>
      <w:pPr>
        <w:autoSpaceDE w:val="0"/>
        <w:autoSpaceDN w:val="0"/>
        <w:adjustRightInd w:val="0"/>
        <w:ind w:firstLine="297" w:firstLineChars="124"/>
        <w:rPr>
          <w:rFonts w:hint="eastAsia" w:ascii="仿宋_GB2312" w:hAnsi="宋体" w:eastAsia="仿宋_GB2312"/>
          <w:sz w:val="24"/>
          <w:szCs w:val="24"/>
        </w:rPr>
      </w:pPr>
      <w:r>
        <w:rPr>
          <w:rFonts w:hint="eastAsia" w:ascii="仿宋_GB2312" w:hAnsi="宋体" w:eastAsia="仿宋_GB2312"/>
          <w:sz w:val="24"/>
          <w:szCs w:val="24"/>
        </w:rPr>
        <w:t>联系人：               联系电话：               电子邮箱：</w:t>
      </w:r>
    </w:p>
    <w:p>
      <w:pPr>
        <w:ind w:firstLine="297" w:firstLineChars="124"/>
        <w:rPr>
          <w:rFonts w:hint="eastAsia" w:ascii="宋体" w:hAnsi="宋体"/>
          <w:sz w:val="24"/>
        </w:rPr>
      </w:pPr>
    </w:p>
    <w:p>
      <w:pPr>
        <w:ind w:firstLine="297" w:firstLineChars="124"/>
        <w:rPr>
          <w:rFonts w:hint="eastAsia" w:ascii="宋体" w:hAnsi="宋体"/>
          <w:sz w:val="24"/>
        </w:rPr>
      </w:pPr>
    </w:p>
    <w:p>
      <w:pPr>
        <w:spacing w:line="560" w:lineRule="exact"/>
        <w:rPr>
          <w:rFonts w:hint="eastAsia" w:ascii="仿宋_GB2312" w:hAnsi="仿宋_GB2312" w:eastAsia="仿宋_GB2312"/>
          <w:sz w:val="28"/>
          <w:szCs w:val="28"/>
        </w:rPr>
      </w:pPr>
      <w:r>
        <w:rPr>
          <w:rFonts w:hint="eastAsia" w:ascii="仿宋_GB2312" w:hAnsi="仿宋_GB2312" w:eastAsia="仿宋_GB2312" w:cs="仿宋_GB2312"/>
          <w:sz w:val="28"/>
          <w:szCs w:val="28"/>
        </w:rPr>
        <w:t>（主动公开）</w:t>
      </w:r>
    </w:p>
    <w:p>
      <w:pPr>
        <w:spacing w:line="560" w:lineRule="exact"/>
        <w:ind w:left="69" w:leftChars="33"/>
        <w:rPr>
          <w:rFonts w:ascii="仿宋_GB2312" w:hAnsi="仿宋_GB2312" w:eastAsia="仿宋_GB2312"/>
          <w:sz w:val="28"/>
          <w:szCs w:val="28"/>
        </w:rPr>
      </w:pPr>
      <w:r>
        <w:rPr>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600700" cy="0"/>
                <wp:effectExtent l="0" t="0" r="0" b="0"/>
                <wp:wrapNone/>
                <wp:docPr id="2" name="自选图形 4"/>
                <wp:cNvGraphicFramePr/>
                <a:graphic xmlns:a="http://schemas.openxmlformats.org/drawingml/2006/main">
                  <a:graphicData uri="http://schemas.microsoft.com/office/word/2010/wordprocessingShape">
                    <wps:wsp>
                      <wps:cNvSpPr/>
                      <wps:spPr>
                        <a:xfrm>
                          <a:off x="0" y="0"/>
                          <a:ext cx="5600700" cy="0"/>
                        </a:xfrm>
                        <a:prstGeom prst="straightConnector1">
                          <a:avLst/>
                        </a:prstGeom>
                        <a:ln w="19050" cap="flat" cmpd="sng">
                          <a:solidFill>
                            <a:srgbClr val="000000"/>
                          </a:solidFill>
                          <a:prstDash val="solid"/>
                          <a:headEnd type="none" w="med" len="med"/>
                          <a:tailEnd type="none" w="med" len="med"/>
                        </a:ln>
                      </wps:spPr>
                      <wps:bodyPr wrap="square" upright="1"/>
                    </wps:wsp>
                  </a:graphicData>
                </a:graphic>
              </wp:anchor>
            </w:drawing>
          </mc:Choice>
          <mc:Fallback>
            <w:pict>
              <v:shape id="自选图形 4" o:spid="_x0000_s1026" o:spt="32" type="#_x0000_t32" style="position:absolute;left:0pt;margin-left:0pt;margin-top:1.2pt;height:0pt;width:441pt;z-index:251659264;mso-width-relative:page;mso-height-relative:page;" filled="f" stroked="t" coordsize="21600,21600" o:gfxdata="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KLp6zwAAAAQB&#10;AAAPAAAAAAAAAAEAIAAAACIAAABkcnMvZG93bnJldi54bWxQSwECFAAUAAAACACHTuJAocws3esB&#10;AACwAwAADgAAAAAAAAABACAAAAAeAQAAZHJzL2Uyb0RvYy54bWxQSwUGAAAAAAYABgBZAQAAewUA&#10;AAAA&#10;">
                <v:fill on="f" focussize="0,0"/>
                <v:stroke weight="1.5pt" color="#000000" joinstyle="round"/>
                <v:imagedata o:title=""/>
                <o:lock v:ext="edit" aspectratio="f"/>
              </v:shape>
            </w:pict>
          </mc:Fallback>
        </mc:AlternateContent>
      </w:r>
      <w:r>
        <w:rPr>
          <w:rFonts w:hint="eastAsia" w:ascii="仿宋_GB2312" w:eastAsia="仿宋_GB2312" w:cs="仿宋_GB2312"/>
          <w:sz w:val="28"/>
          <w:szCs w:val="28"/>
        </w:rPr>
        <w:t>福建省教育厅办公室</w:t>
      </w:r>
      <w:r>
        <w:rPr>
          <w:rFonts w:ascii="仿宋_GB2312" w:eastAsia="仿宋_GB2312" w:cs="仿宋_GB2312"/>
          <w:sz w:val="28"/>
          <w:szCs w:val="28"/>
        </w:rPr>
        <w:t xml:space="preserve">                     2017</w:t>
      </w:r>
      <w:r>
        <w:rPr>
          <w:rFonts w:hint="eastAsia" w:ascii="仿宋_GB2312" w:eastAsia="仿宋_GB2312" w:cs="仿宋_GB2312"/>
          <w:sz w:val="28"/>
          <w:szCs w:val="28"/>
        </w:rPr>
        <w:t>年10月</w:t>
      </w:r>
      <w:r>
        <w:rPr>
          <w:rFonts w:ascii="仿宋_GB2312" w:eastAsia="仿宋_GB2312" w:cs="仿宋_GB2312"/>
          <w:sz w:val="28"/>
          <w:szCs w:val="28"/>
        </w:rPr>
        <w:t>2</w:t>
      </w:r>
      <w:r>
        <w:rPr>
          <w:rFonts w:hint="eastAsia" w:ascii="仿宋_GB2312" w:eastAsia="仿宋_GB2312" w:cs="仿宋_GB2312"/>
          <w:sz w:val="28"/>
          <w:szCs w:val="28"/>
        </w:rPr>
        <w:t>4日印发</w:t>
      </w:r>
    </w:p>
    <w:p>
      <w:pPr>
        <w:rPr>
          <w:rFonts w:hint="eastAsia"/>
        </w:rPr>
      </w:pPr>
      <w:r>
        <w:rPr>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5600700" cy="0"/>
                <wp:effectExtent l="0" t="0" r="0" b="0"/>
                <wp:wrapNone/>
                <wp:docPr id="3" name="自选图形 5"/>
                <wp:cNvGraphicFramePr/>
                <a:graphic xmlns:a="http://schemas.openxmlformats.org/drawingml/2006/main">
                  <a:graphicData uri="http://schemas.microsoft.com/office/word/2010/wordprocessingShape">
                    <wps:wsp>
                      <wps:cNvSpPr/>
                      <wps:spPr>
                        <a:xfrm>
                          <a:off x="0" y="0"/>
                          <a:ext cx="5600700" cy="0"/>
                        </a:xfrm>
                        <a:prstGeom prst="straightConnector1">
                          <a:avLst/>
                        </a:prstGeom>
                        <a:ln w="19050" cap="flat" cmpd="sng">
                          <a:solidFill>
                            <a:srgbClr val="000000"/>
                          </a:solidFill>
                          <a:prstDash val="solid"/>
                          <a:headEnd type="none" w="med" len="med"/>
                          <a:tailEnd type="none" w="med" len="med"/>
                        </a:ln>
                      </wps:spPr>
                      <wps:bodyPr wrap="square" upright="1"/>
                    </wps:wsp>
                  </a:graphicData>
                </a:graphic>
              </wp:anchor>
            </w:drawing>
          </mc:Choice>
          <mc:Fallback>
            <w:pict>
              <v:shape id="自选图形 5" o:spid="_x0000_s1026" o:spt="32" type="#_x0000_t32" style="position:absolute;left:0pt;margin-left:0pt;margin-top:0.5pt;height:0pt;width:441pt;z-index:251660288;mso-width-relative:page;mso-height-relative:page;" filled="f" stroked="t" coordsize="21600,21600" o:gfxdata="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AAdDOAAAABAEA&#10;AA8AAAAAAAAAAQAgAAAAIgAAAGRycy9kb3ducmV2LnhtbFBLAQIUABQAAAAIAIdO4kBzEcF76wEA&#10;ALADAAAOAAAAAAAAAAEAIAAAAB0BAABkcnMvZTJvRG9jLnhtbFBLBQYAAAAABgAGAFkBAAB6BQAA&#10;AAA=&#10;">
                <v:fill on="f" focussize="0,0"/>
                <v:stroke weight="1.5pt" color="#000000" joinstyle="round"/>
                <v:imagedata o:title=""/>
                <o:lock v:ext="edit" aspectratio="f"/>
              </v:shape>
            </w:pict>
          </mc:Fallback>
        </mc:AlternateContent>
      </w:r>
      <w:r>
        <w:rPr>
          <w:rFonts w:ascii="宋体" w:hAnsi="宋体"/>
          <w:sz w:val="24"/>
        </w:rPr>
        <w:t xml:space="preserve">                            </w:t>
      </w:r>
    </w:p>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Arial Unicode MS"/>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lang/>
      </w:rPr>
      <w:t>- 15 -</w:t>
    </w:r>
    <w:r>
      <w:rPr>
        <w:rStyle w:val="9"/>
        <w:rFonts w:ascii="宋体" w:hAnsi="宋体"/>
        <w:sz w:val="28"/>
        <w:szCs w:val="28"/>
      </w:rPr>
      <w:fldChar w:fldCharType="end"/>
    </w:r>
  </w:p>
  <w:p>
    <w:pPr>
      <w:pStyle w:val="4"/>
      <w:rPr>
        <w:rFonts w:hint="eastAsia"/>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lang/>
      </w:rPr>
      <w:t>- 16 -</w:t>
    </w:r>
    <w:r>
      <w:rPr>
        <w:rStyle w:val="9"/>
        <w:rFonts w:ascii="宋体" w:hAnsi="宋体"/>
        <w:sz w:val="28"/>
        <w:szCs w:val="28"/>
      </w:rPr>
      <w:fldChar w:fldCharType="end"/>
    </w:r>
  </w:p>
  <w:p>
    <w:pPr>
      <w:pStyle w:val="4"/>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95"/>
    <w:rsid w:val="000161DC"/>
    <w:rsid w:val="0001715A"/>
    <w:rsid w:val="000250FD"/>
    <w:rsid w:val="00031675"/>
    <w:rsid w:val="00060471"/>
    <w:rsid w:val="000770F9"/>
    <w:rsid w:val="000945A4"/>
    <w:rsid w:val="000A79D3"/>
    <w:rsid w:val="000B438B"/>
    <w:rsid w:val="000D5217"/>
    <w:rsid w:val="000E0192"/>
    <w:rsid w:val="000E5289"/>
    <w:rsid w:val="00130C74"/>
    <w:rsid w:val="00131175"/>
    <w:rsid w:val="00132775"/>
    <w:rsid w:val="001449DC"/>
    <w:rsid w:val="00154B5D"/>
    <w:rsid w:val="00160540"/>
    <w:rsid w:val="00165F1A"/>
    <w:rsid w:val="001728A4"/>
    <w:rsid w:val="0017611A"/>
    <w:rsid w:val="001770BC"/>
    <w:rsid w:val="00194BCA"/>
    <w:rsid w:val="001A0C52"/>
    <w:rsid w:val="001A5C74"/>
    <w:rsid w:val="001C4524"/>
    <w:rsid w:val="001D0CC5"/>
    <w:rsid w:val="001F38F3"/>
    <w:rsid w:val="00230B71"/>
    <w:rsid w:val="00235052"/>
    <w:rsid w:val="00257864"/>
    <w:rsid w:val="0026322B"/>
    <w:rsid w:val="0026374B"/>
    <w:rsid w:val="0028027E"/>
    <w:rsid w:val="002A0D80"/>
    <w:rsid w:val="002C3180"/>
    <w:rsid w:val="002D68F7"/>
    <w:rsid w:val="002F409A"/>
    <w:rsid w:val="0030252C"/>
    <w:rsid w:val="00305EED"/>
    <w:rsid w:val="0034231D"/>
    <w:rsid w:val="00354283"/>
    <w:rsid w:val="00355E35"/>
    <w:rsid w:val="0037375E"/>
    <w:rsid w:val="0038617F"/>
    <w:rsid w:val="00387AD9"/>
    <w:rsid w:val="003C1D06"/>
    <w:rsid w:val="003C3CA5"/>
    <w:rsid w:val="003D39A7"/>
    <w:rsid w:val="003D7BE1"/>
    <w:rsid w:val="003E4F39"/>
    <w:rsid w:val="003E6B81"/>
    <w:rsid w:val="003E78FD"/>
    <w:rsid w:val="0040014C"/>
    <w:rsid w:val="004137E1"/>
    <w:rsid w:val="004162CC"/>
    <w:rsid w:val="00435A6D"/>
    <w:rsid w:val="004431ED"/>
    <w:rsid w:val="00444E0C"/>
    <w:rsid w:val="00476120"/>
    <w:rsid w:val="00491AD9"/>
    <w:rsid w:val="004B238F"/>
    <w:rsid w:val="004B5EE9"/>
    <w:rsid w:val="004D4BAB"/>
    <w:rsid w:val="00502D33"/>
    <w:rsid w:val="00506492"/>
    <w:rsid w:val="00545934"/>
    <w:rsid w:val="00545E08"/>
    <w:rsid w:val="005549C7"/>
    <w:rsid w:val="005578B0"/>
    <w:rsid w:val="00561CBF"/>
    <w:rsid w:val="005968B0"/>
    <w:rsid w:val="005A5176"/>
    <w:rsid w:val="005B567D"/>
    <w:rsid w:val="005B6C6E"/>
    <w:rsid w:val="005C16D0"/>
    <w:rsid w:val="005C29F4"/>
    <w:rsid w:val="005F2E84"/>
    <w:rsid w:val="00605D64"/>
    <w:rsid w:val="00612248"/>
    <w:rsid w:val="00615D26"/>
    <w:rsid w:val="0063749D"/>
    <w:rsid w:val="006514D3"/>
    <w:rsid w:val="00655D7A"/>
    <w:rsid w:val="00692CD2"/>
    <w:rsid w:val="006970DE"/>
    <w:rsid w:val="006C012F"/>
    <w:rsid w:val="006C5F5F"/>
    <w:rsid w:val="006D166F"/>
    <w:rsid w:val="006F0A6F"/>
    <w:rsid w:val="007023CD"/>
    <w:rsid w:val="00702F8F"/>
    <w:rsid w:val="007251FB"/>
    <w:rsid w:val="0074204E"/>
    <w:rsid w:val="0076641D"/>
    <w:rsid w:val="007865E6"/>
    <w:rsid w:val="007A03DE"/>
    <w:rsid w:val="007B3289"/>
    <w:rsid w:val="007B3714"/>
    <w:rsid w:val="007C4B85"/>
    <w:rsid w:val="007D550E"/>
    <w:rsid w:val="007D5E68"/>
    <w:rsid w:val="007E3AD6"/>
    <w:rsid w:val="007F029D"/>
    <w:rsid w:val="007F0670"/>
    <w:rsid w:val="007F78D0"/>
    <w:rsid w:val="00815E2D"/>
    <w:rsid w:val="00831BAE"/>
    <w:rsid w:val="00831F27"/>
    <w:rsid w:val="00836B1E"/>
    <w:rsid w:val="00855907"/>
    <w:rsid w:val="008574DA"/>
    <w:rsid w:val="008638D1"/>
    <w:rsid w:val="00865D66"/>
    <w:rsid w:val="00880D0E"/>
    <w:rsid w:val="00885987"/>
    <w:rsid w:val="008A2199"/>
    <w:rsid w:val="008B06A4"/>
    <w:rsid w:val="008C0C22"/>
    <w:rsid w:val="008C18F3"/>
    <w:rsid w:val="008D7B69"/>
    <w:rsid w:val="008E130D"/>
    <w:rsid w:val="008F201F"/>
    <w:rsid w:val="00900F23"/>
    <w:rsid w:val="00911158"/>
    <w:rsid w:val="00932F46"/>
    <w:rsid w:val="00952533"/>
    <w:rsid w:val="009705EC"/>
    <w:rsid w:val="009716F2"/>
    <w:rsid w:val="00984CAA"/>
    <w:rsid w:val="00991E7B"/>
    <w:rsid w:val="009D0E95"/>
    <w:rsid w:val="009E1F2B"/>
    <w:rsid w:val="009E26B4"/>
    <w:rsid w:val="009E5D00"/>
    <w:rsid w:val="009E5F63"/>
    <w:rsid w:val="009F0746"/>
    <w:rsid w:val="009F4F72"/>
    <w:rsid w:val="00A33605"/>
    <w:rsid w:val="00A66C3C"/>
    <w:rsid w:val="00A700DC"/>
    <w:rsid w:val="00A718A7"/>
    <w:rsid w:val="00A751E5"/>
    <w:rsid w:val="00AA09A6"/>
    <w:rsid w:val="00AA0A40"/>
    <w:rsid w:val="00AC0F5D"/>
    <w:rsid w:val="00AC1569"/>
    <w:rsid w:val="00AC586D"/>
    <w:rsid w:val="00AD48C5"/>
    <w:rsid w:val="00AF5B6C"/>
    <w:rsid w:val="00B14406"/>
    <w:rsid w:val="00B33476"/>
    <w:rsid w:val="00B471BD"/>
    <w:rsid w:val="00B547EA"/>
    <w:rsid w:val="00B57BA9"/>
    <w:rsid w:val="00B610A9"/>
    <w:rsid w:val="00B6227B"/>
    <w:rsid w:val="00B645C4"/>
    <w:rsid w:val="00B7190C"/>
    <w:rsid w:val="00B72424"/>
    <w:rsid w:val="00B827E5"/>
    <w:rsid w:val="00B90F64"/>
    <w:rsid w:val="00B93D1A"/>
    <w:rsid w:val="00BA1A7B"/>
    <w:rsid w:val="00BB39EE"/>
    <w:rsid w:val="00BB3C08"/>
    <w:rsid w:val="00BB70CF"/>
    <w:rsid w:val="00BB7760"/>
    <w:rsid w:val="00BC1A9F"/>
    <w:rsid w:val="00BD5EDD"/>
    <w:rsid w:val="00BE3613"/>
    <w:rsid w:val="00BE739B"/>
    <w:rsid w:val="00BF2388"/>
    <w:rsid w:val="00BF73C1"/>
    <w:rsid w:val="00C000AB"/>
    <w:rsid w:val="00C10A25"/>
    <w:rsid w:val="00C5233D"/>
    <w:rsid w:val="00C7453C"/>
    <w:rsid w:val="00C8478F"/>
    <w:rsid w:val="00C950B5"/>
    <w:rsid w:val="00C9533E"/>
    <w:rsid w:val="00CA38B1"/>
    <w:rsid w:val="00CB1CDC"/>
    <w:rsid w:val="00CC0125"/>
    <w:rsid w:val="00CC07DC"/>
    <w:rsid w:val="00CE34C6"/>
    <w:rsid w:val="00CF4273"/>
    <w:rsid w:val="00D04A3B"/>
    <w:rsid w:val="00D12B7B"/>
    <w:rsid w:val="00D13235"/>
    <w:rsid w:val="00D1569F"/>
    <w:rsid w:val="00D2014B"/>
    <w:rsid w:val="00D25EA5"/>
    <w:rsid w:val="00D3709E"/>
    <w:rsid w:val="00D37431"/>
    <w:rsid w:val="00D6009E"/>
    <w:rsid w:val="00D76A22"/>
    <w:rsid w:val="00D8227B"/>
    <w:rsid w:val="00D830F8"/>
    <w:rsid w:val="00D879CA"/>
    <w:rsid w:val="00D904B9"/>
    <w:rsid w:val="00D923C1"/>
    <w:rsid w:val="00DA2519"/>
    <w:rsid w:val="00DA4270"/>
    <w:rsid w:val="00DC1C7F"/>
    <w:rsid w:val="00DC7E6A"/>
    <w:rsid w:val="00DD7113"/>
    <w:rsid w:val="00DF1165"/>
    <w:rsid w:val="00DF2140"/>
    <w:rsid w:val="00DF4BDA"/>
    <w:rsid w:val="00E05D7A"/>
    <w:rsid w:val="00E30D8A"/>
    <w:rsid w:val="00E37737"/>
    <w:rsid w:val="00E41D4E"/>
    <w:rsid w:val="00E6501B"/>
    <w:rsid w:val="00E90718"/>
    <w:rsid w:val="00E96636"/>
    <w:rsid w:val="00EB16F6"/>
    <w:rsid w:val="00EC3B67"/>
    <w:rsid w:val="00EE7FD0"/>
    <w:rsid w:val="00EF77C4"/>
    <w:rsid w:val="00F0155B"/>
    <w:rsid w:val="00F21583"/>
    <w:rsid w:val="00F2364B"/>
    <w:rsid w:val="00F84C72"/>
    <w:rsid w:val="00F85C80"/>
    <w:rsid w:val="00FC2AD7"/>
    <w:rsid w:val="00FD15C1"/>
    <w:rsid w:val="00FD2F56"/>
    <w:rsid w:val="00FD6382"/>
    <w:rsid w:val="33F94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5"/>
    <w:basedOn w:val="1"/>
    <w:next w:val="1"/>
    <w:link w:val="11"/>
    <w:qFormat/>
    <w:uiPriority w:val="0"/>
    <w:pPr>
      <w:keepNext/>
      <w:keepLines/>
      <w:spacing w:before="280" w:after="290" w:line="376" w:lineRule="auto"/>
      <w:ind w:left="420" w:hanging="420"/>
      <w:outlineLvl w:val="4"/>
    </w:pPr>
    <w:rPr>
      <w:rFonts w:ascii="Times New Roman" w:hAnsi="Times New Roman"/>
      <w:b/>
      <w:bCs/>
      <w:kern w:val="0"/>
      <w:sz w:val="28"/>
      <w:szCs w:val="28"/>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Normal (Web)"/>
    <w:basedOn w:val="1"/>
    <w:unhideWhenUsed/>
    <w:uiPriority w:val="0"/>
    <w:pPr>
      <w:autoSpaceDE w:val="0"/>
      <w:autoSpaceDN w:val="0"/>
      <w:adjustRightInd w:val="0"/>
      <w:spacing w:after="150" w:line="360" w:lineRule="auto"/>
      <w:ind w:firstLine="420" w:firstLineChars="200"/>
      <w:jc w:val="left"/>
    </w:pPr>
    <w:rPr>
      <w:rFonts w:ascii="Times New Roman" w:hAnsi="Times New Roman"/>
      <w:kern w:val="0"/>
      <w:sz w:val="24"/>
      <w:szCs w:val="20"/>
    </w:rPr>
  </w:style>
  <w:style w:type="character" w:styleId="9">
    <w:name w:val="page number"/>
    <w:basedOn w:val="8"/>
    <w:uiPriority w:val="0"/>
  </w:style>
  <w:style w:type="character" w:customStyle="1" w:styleId="11">
    <w:name w:val="H5 Char"/>
    <w:aliases w:val="PIM 5 Char,h5 Char,ITT t5 Char,PA Pico Section Char,H5-Heading 5 Char,l5 Char,heading5 Char,heading 5 Char,dash Char,ds Char,dd Char Char"/>
    <w:link w:val="2"/>
    <w:uiPriority w:val="0"/>
    <w:rPr>
      <w:rFonts w:ascii="Times New Roman" w:hAnsi="Times New Roman"/>
      <w:b/>
      <w:bCs/>
      <w:sz w:val="28"/>
      <w:szCs w:val="28"/>
    </w:rPr>
  </w:style>
  <w:style w:type="character" w:customStyle="1" w:styleId="12">
    <w:name w:val=" Char Char2"/>
    <w:link w:val="5"/>
    <w:uiPriority w:val="99"/>
    <w:rPr>
      <w:kern w:val="2"/>
      <w:sz w:val="18"/>
      <w:szCs w:val="18"/>
    </w:rPr>
  </w:style>
  <w:style w:type="character" w:customStyle="1" w:styleId="13">
    <w:name w:val=" Char Char1"/>
    <w:link w:val="4"/>
    <w:uiPriority w:val="99"/>
    <w:rPr>
      <w:kern w:val="2"/>
      <w:sz w:val="18"/>
      <w:szCs w:val="18"/>
    </w:rPr>
  </w:style>
  <w:style w:type="character" w:customStyle="1" w:styleId="14">
    <w:name w:val=" Char Char"/>
    <w:link w:val="6"/>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875</Words>
  <Characters>4990</Characters>
  <Lines>41</Lines>
  <Paragraphs>11</Paragraphs>
  <ScaleCrop>false</ScaleCrop>
  <LinksUpToDate>false</LinksUpToDate>
  <CharactersWithSpaces>5854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2017-10-24T07:25:00Z</dcterms:created>
  <dc:creator>肖文测试</dc:creator>
  <cp:lastModifiedBy>Administrator</cp:lastModifiedBy>
  <dcterms:modified xsi:type="dcterms:W3CDTF">2017-10-31T01:44:53Z</dcterms:modified>
  <dc:title>福建省教育厅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